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P/16192/2015 vom 10. Februar 2017</w:t>
      </w:r>
    </w:p>
    <w:p>
      <w:r>
        <w:t>GE Cour de justice, 2017-02-10, FR</w:t>
      </w:r>
    </w:p>
    <w:p>
      <w:r>
        <w:rPr>
          <w:b/>
        </w:rPr>
        <w:t xml:space="preserve">Quelle: </w:t>
      </w:r>
      <w:r>
        <w:t>https://mcp.opencaselaw.ch/entscheid/ge_gerichte_P_16192_2015</w:t>
      </w:r>
    </w:p>
    <w:p>
      <w:r>
        <w:t>FR: GE_GERICHTE P/16192/2015 du 10 février 2017</w:t>
      </w:r>
    </w:p>
    <w:p>
      <w:r>
        <w:t>IT: GE_GERICHTE P/16192/2015 del 10 febbraio 2017</w:t>
      </w:r>
    </w:p>
    <w:p>
      <w:pPr>
        <w:pStyle w:val="Heading2"/>
      </w:pPr>
      <w:r>
        <w:t>Regeste</w:t>
      </w:r>
    </w:p>
    <w:p>
      <w:r>
        <w:t>DISPOSITIONS PÉNALES DE LA LSTUP ; FIXATION DE LA PEINE ; CONCOURS D'INFRACTIONS | LStup19.1.2; LEtr115.1b; CP47; CP49</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2.1.2. L'art. 47 CP n'énonce ni la méthode, ni les conséquences exactes qu'il faut tirer de tous les éléments précités quant à la fixation de la peine. Il confère donc au juge un large pouvoir d'appréciation. Dans sa décision, le juge doit exposer les éléments essentiels – relatifs à l'acte ou à l'auteur – qu'il prend en compte.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pourcentages l'importance qu'il accorde à chacun des éléments qu'il cite. Plus la peine est élevée, plus la motivation doit être complète (ATF 134 IV 17 consid. 2.1 et les références citées). Le critère essentiel pour fixer la peine reste celui de la faute. L'art. 47 CP ajoute comme critère l'effet de la peine sur l'avenir du condamné. Cet aspect de prévention spéciale ne permet toutefois que des corrections marginales, la peine devant toujours être proportionnée à la faute (arrêt du Tribunal fédéral 6B_823/2007 du 4 mars 2008 consid. 2 et les références citées). L'art. 47 CP est violé si le juge ne considère pas les critères susmentionnés ou si la peine est dictée par des considérations étrangères à cette norme (ATF 134 IV 17 consid. 2.1 ; 116 IV 288 consid. 2b). 2.1.3. Bien que la récidive ne constitue plus un motif d'aggravation obligatoire de la peine (art. 67 aCP), les antécédents continuent de jouer un rôle très important dans la fixation de celle-ci (M. NIGGLI / H. WIPRÄCHTIGER, Basler Kommentar Strafrecht I : Art. 1-110 StGB, Jugendstrafgesetz , 2 e éd., Bâle 2007, art. 47 CP n. 100). En général, la culpabilité de l'auteur est amplifiée du fait qu'il n'a pas tenu compte de l'avertissement constitué par la précédente condamnation, et sa rechute témoigne d'une énergie criminelle accrue (R. ROTH / L. MOREILLON (éds), Code pénal I : art. 1-100 CP , Bâle 2009, art. 47 CP n. 55).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Les antécédents judiciaires ne sauraient toutefois conduire à une augmentation massive de la peine, parce que cela reviendrait à condamner une deuxième fois pour des actes déjà jugés (ATF 120 IV 136 consid. 3b). 2.1.4. En matière de trafic de stupéfiants, il y a lieu de tenir compte, plus spécialement, des circonstances suivantes (arrêt du Tribunal fédéral 6B_843/2014 du 7 avril 2015 consid. 1.1.1 ; voir aussi arrêts du Tribunal fédéral 6B_408/2008 du 14 juillet 2008 consid. 4.2 et 6B_297/2008 du 19 juin 2008 consid. 5.1.2 rendus sous l'ancien droit mais qui restent applicables à la novelle).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(arrêt du Tribunal fédéral 6B_843/2014 du 7 avril 2015 consid. 1.1.1 et les références citées).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 celui qui écoule en une fois un kilo d'héroïne sera en principe moins sévèrement puni que celui qui vend cent grammes à dix reprises. 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6B_843/2014 du 7 avril 2015 consid. 1.1.1 et 6B_107/2013 du 15 mai 2013 consid. 2.1.1). 2.2.1. D'après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2.2.2. L'infraction grave à la LStup est passible d'une peine privative de liberté d'un an au moins et de vingt ans au plus, tandis que le séjour illégal et l'exercice d'une activité lucrative sans autorisation sont passibles d'une peine privative de liberté d'un an au plus ou d'une peine pécuniaire.</w:t>
      </w:r>
    </w:p>
    <w:p>
      <w:r>
        <w:rPr>
          <w:b/>
        </w:rPr>
        <w:t>E. 2.3</w:t>
      </w:r>
    </w:p>
    <w:p>
      <w:r>
        <w:t>La faute de l'appelant est lourde. Pendant six mois, il a réceptionné de la cocaïne en vrac, l'a stockée, diluée et conditionnée puis l'a revendue au détail, notamment à ses propres clients, avec lesquels il était directement en contact. Il a agi de manière répétée et mis en place une logistique rodée, disposant d'un matériel de type industriel pour confectionner les cylindres de cocaïne, ce qui témoigne d'une intensité délictuelle importante. Obnubilé par l'argent, l'appelant, qui n'est pas toxicomane, a agi de manière égoïste et dangereuse à l'égard de ses proches. Il a en effet placé la cocaïne à portée de main de jeunes enfants, dont son fils, dans un appartement qui servait de logement à une famille. Il convient aussi de souligner le taux de pureté élevé de la moitié de la drogue saisie, soit quelques 600 grammes à 60%, et le fait que seule l'arrestation de l'appelant a mis fin à son trafic, qui était en plein essor. L'appelant bénéficiait d'ailleurs de la confiance de son fournisseur et agissait de manière indépendante, ce qui le place à un échelon bien plus élevé que celui d'un simple revendeur de rue ou d'une mule. La collaboration à la procédure a été à juste titre qualifiée de moyenne. L'appelant a certes admis d'emblée se livrer à un trafic de cocaïne et n'a pas contesté l'évidence mais a néanmoins tenté de minimiser l'ampleur de son activité, soutenant dans un premier temps qu'il agissait depuis trois mois seulement et pour des quantités inférieures à celles finalement retenues. Les antécédents de l'appelant ne sont pas bons même s'ils ne sont pas spécifiques, s'agissant de l'infraction à la LStup, ni très graves. Il est avéré qu'au moment d'agir, l'appelant rencontrait des difficultés financières, faute d'un travail stable ou d'autres sources licites de revenus. Ressortissant espagnol, jeune et en bonne santé, il aurait toutefois pu travailler honnêtement et en toute légalité dans son pays d'origine de même qu'en Suisse, à l'instar de nombreux autres européens qui bénéficient d'un permis de travail. Si l'état de santé de son père était par ailleurs une source de préoccupation, il ne s'agissait pas non plus d'une situation exceptionnelle, surtout que l'Espagne est un pays qui dispose d'un système de soins accessible à sa population. Partant, on ne saurait accorder à la situation personnelle de l'appelant un effet atténuant significatif. Le bon comportement de l'appelant en détention et ses démarches concrètes en vue de sa réinsertion doivent être salués et pris en compte, mais dans une mesure moindre, dès lors que la faute reste le critère essentiel. Enfin, le concours avec les infractions à la LEtr justifie l'augmentation de la peine, mais dans une modeste mesure. Eu égard à ces considérations, une peine privative de liberté de quatre ans est adéquate et tient judicieusement compte de l'ensemble des éléments qui précèdent de sorte qu'il convient de confirmer le jugement entrepris. Aucun sursis au sens des articles 42 et 43 CP n'est donc envisageable.</w:t>
      </w:r>
    </w:p>
    <w:p>
      <w:r>
        <w:rPr>
          <w:b/>
        </w:rPr>
        <w:t>E. 3</w:t>
      </w:r>
    </w:p>
    <w:p>
      <w:r>
        <w:t>L'appelant est en exécution anticipée de peine, de sorte qu'il n'y a pas lieu d'ordonner son maintien en détention pour des motifs de sûreté.</w:t>
      </w:r>
    </w:p>
    <w:p>
      <w:r>
        <w:rPr>
          <w:b/>
        </w:rPr>
        <w:t>E. 4</w:t>
      </w:r>
    </w:p>
    <w:p>
      <w:r>
        <w:t>L'appelant, qui succombe, supportera les frais de la procédure envers l'Etat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