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P/16184/2017 vom 11. November 2020</w:t>
      </w:r>
    </w:p>
    <w:p>
      <w:r>
        <w:t>GE Cour de justice, 2020-11-11, FR</w:t>
      </w:r>
    </w:p>
    <w:p>
      <w:r>
        <w:rPr>
          <w:b/>
        </w:rPr>
        <w:t xml:space="preserve">Quelle: </w:t>
      </w:r>
      <w:r>
        <w:t>https://mcp.opencaselaw.ch/entscheid/ge_gerichte_P_16184_2017</w:t>
      </w:r>
    </w:p>
    <w:p>
      <w:r>
        <w:t>FR: GE_GERICHTE P/16184/2017 du 11 novembre 2020</w:t>
      </w:r>
    </w:p>
    <w:p>
      <w:r>
        <w:t>IT: GE_GERICHTE P/16184/2017 del 11 novembre 2020</w:t>
      </w:r>
    </w:p>
    <w:p>
      <w:pPr>
        <w:pStyle w:val="Heading2"/>
      </w:pPr>
      <w:r>
        <w:t>Regeste</w:t>
      </w:r>
    </w:p>
    <w:p>
      <w:r>
        <w:t>RESPONSABILITÉ RESTREINTE(DROIT PÉNAL);CONTRAINTE SEXUELLE;TRAITEMENT AMBULATOIRE | CP.189; CP.63; CP.19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 présomption d'innocence, garantie par les art. 10 CPP, 32 al. 1 Cst. et 6 par. 2 CEDH, ainsi que son corollaire, le principe « in dubio pro reo »,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Les déclarations de la victime constituent un élément de preuve. Le juge doit, dans l'évaluation globale de l'ensemble des éléments probatoires rassemblés au dossier, les apprécier librement.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p. 127 ; arrêt du Tribunal fédéral 6B_219/2020 du 4 août 2020 consid. 2.1 et la jurisprudence citée).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2.2</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p. 240). L'auteur ne se trouve pas dans une erreur sur les faits lorsqu'il est conscient, au moment d'agir, d'ignorer des éléments factuels ou juridiques qui lui seraient importants pour apprécier la portée de son propre comportement (ATF 135 IV 12 consid. 2.3.1 p. 16).</w:t>
      </w:r>
    </w:p>
    <w:p>
      <w:r>
        <w:rPr>
          <w:b/>
        </w:rPr>
        <w:t>E. 2.3</w:t>
      </w:r>
    </w:p>
    <w:p>
      <w:r>
        <w:t>En l'espèce la version constante de la partie plaignante emporte conviction, étant souligné que l'appelant s'est soustrait à la confrontation avec elle, puisqu'il n'a pas comparu lorsqu'elle a été entendue au cours de l'instruction préliminaire. L'appelant ne conteste pas avoir procédé à des caresses sur la plaignante, même s'il en minimise la portée et nie toute contrainte, alléguant avoir été induit à agir par la victime. Or, il n'est pas vraisemblable de retenir qu'une personne occupée au ménage, penchée en avant pour nettoyer une baignoire, adopte une attitude aguicheuse, envers une personne dont elle ignore la présence dans la pièce ; c'est bien en raison de la pathologie de l'appelant qu'il a perçu la plaignante de la sorte. Cette perception l'a peut-être induit en erreur. Toutefois, il ne s'est pas contenté de saisir une occasion. Au contraire, il a plaqué sa victime contre un mur et en a profité pour la caresser non seulement au niveau des fesses mais également sur les seins. Ainsi, si l'appelant a peut-être initialement perçu la situation de façon erronée, il n'était plus dans l'erreur lorsqu'il a passé à l'acte. Ses dénégations démontrent d'ailleurs la conscience qu'il a d'avoir outrepassé la simple avance et empiété sur la liberté de la victime. C'est donc en vain qu'il se prévaut de l'art. 13 CP. L'ensemble des éléments de la procédure démontre que l'appelant a contraint la plaignante à subir les attouchements qu'elle décrit, et qu'il l'a fait en connaissance de cause. Il admet d'ailleurs ne pas avoir demandé ou dit quoi que ce soit à la victime. Il s'est rendu dans la salle de bains sans raison, alors que la plaignante se trouvait pour la première fois à son domicile pour y faire le ménage, dans le cadre de son travail pour la F______, et l'a surprise pour la soumettre à ses désirs. Le caractère sexuel des actes (caresses sur les seins et les fesses) est indubitable. La contrainte l'est tout autant et ressort tant à la surprise de voir l'appelant derrière elle dans un lieu exigu qu'au fait d'avoir été plaquée contre le mur. Ces faits sont bien constitutifs de contrainte sexuelle au sens de l'art. 189 CP.</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w:t>
      </w:r>
    </w:p>
    <w:p>
      <w:r>
        <w:rPr>
          <w:b/>
        </w:rPr>
        <w:t>E. 3.3</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w:t>
      </w:r>
    </w:p>
    <w:p>
      <w:r>
        <w:rPr>
          <w:b/>
        </w:rPr>
        <w:t>E. 3.4</w:t>
      </w:r>
    </w:p>
    <w:p>
      <w:r>
        <w:t>Sauf disposition contraire de la loi, le montant maximum de l'amende est de CHF 10'000.- (art. 106 al. 1 CP).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art. 106). Le juge doit toutefois pouvoir s'écarter de cette solution, surtout lorsqu'il tient compte dans la fixation du montant de l'amende de la situation financière de la personne condamnée, comme l'exige le texte légal. Si le juge doit ainsi adapter le montant de l'amende à la faute commise mais aussi aux ressources du condamné, afin de frapper de manière comparable les fortunés et les démunis, il doit pouvoir en faire abstraction dans la fixation de la peine privative de liberté de substitution (M. NIGGLI / H. WIPRÄCHTIGER, Basler Kommentar Strafrecht I : Art. 1-136 StGB, 4 e éd., Bâle 2019, n. 9-11 ad art. 106 CP).</w:t>
      </w:r>
    </w:p>
    <w:p>
      <w:r>
        <w:rPr>
          <w:b/>
        </w:rPr>
        <w:t>E. 3.5</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w:t>
      </w:r>
    </w:p>
    <w:p>
      <w:r>
        <w:rPr>
          <w:b/>
        </w:rPr>
        <w:t>E. 3.6</w:t>
      </w:r>
    </w:p>
    <w:p>
      <w:r>
        <w:t>Une mesure thérapeutique est incompatible avec le prononcé d'un sursis. En effet, la mesure doit être de nature à écarter un risque de récidive et, partant, suppose qu'un tel risque existe (cf. par ex. art. 59 al. 1 CP). A l'inverse, l'octroi du sursis suppose que le juge n'ait pas posé un pronostic défavorable et, partant, qu'il ait estimé qu'il n'y avait pas de risque de récidive. Cette incompatibilité s'applique également en cas de sursis partiel au sens de l'art. 43 CP (ATF 135 IV 180 consid. 2.3 ; 134 IV 1 consid. 3.1; arrêts du Tribunal fédéral 6B_94/2015 du 24 septembre 2015 consid. 1.1).</w:t>
      </w:r>
    </w:p>
    <w:p>
      <w:r>
        <w:rPr>
          <w:b/>
        </w:rPr>
        <w:t>E. 3.7</w:t>
      </w:r>
    </w:p>
    <w:p>
      <w:r>
        <w:t>Conformément au principe de l'interdiction de la reformatio in pejus déduit de l'art. 391 al. 2 CPP, l'autorité d'appel ne peut pas modifier une décision au détriment du prévenu ou du condamné si l'appel a été interjeté uniquement en sa faveur. L'existence d'une reformatio in pejus doit être examinée à l'aune du dispositif (ATF 142 IV 129 consid. 4.5 p. 136 ; 141 IV 132 consid. 2.7.3 p. 140 ; 139 IV 282 consid. 2.6 p. 289 ; arrêt du Tribunal fédéral 6B_1021/2016 du 20 septembre 2017 consid. 2.1.1). Le dispositif du dernier arrêt en cause ne doit pas être modifié en défaveur du prévenu par le biais d'un verdict de culpabilité plus sévère ou par le prononcé d'une peine plus lourde que ceux résultant du dispositif de l'arrêt préalablement querellé. Une restriction liée à la prohibition de la reformatio in pejus ne se justifie pas lorsque, pris dans son ensemble, le nouveau jugement n'aggrave pas le sort du condamné (cf. ATF 117 IV 97 consid. 4c p. 106 ; arrêts du Tribunal fédéral 6B_440/2016 du 8 novembre 2017 consid. 3.1.1 destiné à publication ; 6B_69/2016 du 29 septembre 2016 consid. 2.2.1). 3.8.1. En l'espèce, l'appelant sera astreint à une mesure (cf. ci-après consid. 4), ce qui fait obstacle au prononcé du sursis. 3.8.2. Le premier juge a retenu que l'appelant pouvait être sanctionné par des jours-amende, pour les violations de domicile antérieures à sa condamnation du 28 décembre 2017, sans examiner les conditions de l'art. 41 CP. Or, il apparaît que l'appelant, qui dispose en tout et pour tout de CHF 60.- par semaine d'argent de poche et qui a commis plusieurs vols, certes de peu d'importance, pour améliorer sa situation financière, ne remplit manifestement pas les conditions de cette disposition : il n'y a pas seulement lieu de craindre qu'une peine pécuniaire ne puisse pas être exécutée, c'est une évidence. Le fait qu'il ait dû purger des peines privatives de liberté de substitution pour toutes les sanctions prononcées à son encontre, y compris les amendes, le démontre. L'appelant a également été reconnu coupable de multiples contraventions, passibles d'amendes à l'exclusion de toute autre sanction, qui grèveront déjà passablement sa situation financière obérée. Le recouvrement d'une peine pécuniaire sera dans ces circonstances impossible. Seule une peine privative de liberté est envisageable en l'espèce pour l'ensemble. Certes, la CPAR ne peut pas revoir dans un sens défavorable le type de peine prononcé à l'encontre de l'appelant (art. 391 al. 2 et 404 al. 1 CPP). Néanmoins, comme il sera constaté ci-après, la peine privative de liberté d'ensemble à prononcer pour tous les faits reprochés ne dépassera pas la quotité de celle prononcée par le premier juge, et la situation de l'appelant ne se trouvera donc pas concrètement aggravée du fait de ce changement de sanction. 3.8.3. La faute en relation avec les faits de contrainte sexuelle est importante. L'appelant s'en est pris de façon violente et gratuite à l'intégrité sexuelle d'une personne qui s'était rendue à son domicile pour lui rendre service. Il a agi essentiellement par pulsion, pour satisfaire un désir sexuel, soit un mobile égoïste. Ses autres agissements (vols et violations de domicile) ont également un mobile purement égoïste, relevant d'une impulsivité mal maitrisée, de l'appât du gain ainsi que d'un regrettable mépris du bien d'autrui. Sa faute n'est pas aussi importante en lien avec ces faits, mais reste conséquente. Sa collaboration a été bonne pour les différents vols, et médiocre pour les faits à caractère sexuel puisqu'il s'est entêté à blâmer la victime. De cette persévérance, certainement liée à son trouble psychiatrique, découle une prise de conscience nulle. La responsabilité restreinte de l'appelant diminue sa faute, qui doit ainsi être qualifiée de moyennement grave. La situation personnelle de l'appelant explique partiellement ses actes, sans les justifier. Inconnu des services de police avant l'hospitalisation de sa mère en 2015, il s'est retrouvé à cette occasion seul, ayant perdu le cadre de vie et le soutien que sa mère a visiblement présenté jusqu'à son départ du domicile familial. L'appelant a connu une forme de descente aux enfers, qui s'est concrétisée par des condamnations pénales, l'agression à l'encontre de la plaignante, des hospitalisations, la perte de son logement et plusieurs incarcérations. Cette chute semble toutefois avoir pris fin avec l'admission de l'appelant dans un foyer au mois d'août 2020, foyer qui correspond manifestement à ce que l'expert psychiatre a préconisé pour l'appelant et qui lui offre le milieu étayé avec un encadrement dont il a besoin pour surmonter ses difficultés. Il est essentiel, aux yeux de la CPAR, que cette amélioration se pérennise et que la décision présentement prise accompagne l'appelant dans cette amélioration de son cadre de vie, qui est la meilleure manière de le détourner de commettre de nouvelles infractions. 3.8.4. Compte tenu de la peine privative de liberté prononcée le 18 mars 2018 par le MP, la CPAR doit fixer une peine partiellement complémentaire. En revanche, aucune peine pécuniaire n'étant prononcée, la peine ne sera pas complémentaire à celle prononcée le 28 décembre 2017 puisque les peines sont d'un genre différent. Les faits de contrainte sexuelle apparaissent comme les plus graves, au vu de l'atteinte à la liberté sexuelle et personnelle de la victime. Cette infraction doit donc servir de référence pour la fixation de la peine de base, qui sera aggravée pour tenir compte des autres infractions commises, puis enfin en fonction de la condamnation déjà en force. A elle seule, la contrainte sexuelle emporte une peine théorique de six mois, qui doit être ramenée à trois mois pour tenir compte de la responsabilité moyennement restreinte de l'appelant. Chaque violation de domicile emporte une peine privative de liberté de 15 jours, ramenée à 10 jours en raison de sa responsabilité légèrement restreinte. En tenant compte des faits réprimés par la condamnation du 18 mars 2018, il y a 11 occurrences entraînant donc une peine de 110 jours supplémentaires, pour une peine totale de 200 jours, dont à déduire les 30 jours d'ores et déjà prononcés le 18 mars 2018. La peine privative de liberté complémentaire d'ensemble sera donc arrêtée à 170 jours. 3.8.5. Sans avoir développé son argument, l'appelant a contesté dans sa déclaration d'appel le montant de l'amende prononcé par le premier juge. Il ressort effectivement de l'examen de sa situation personnelle, qui conduit la CPAR à renoncer au prononcé d'une peine pécuniaire, que l'appelant dispose de moyens financiers très restreints, qui justifient de le condamner à des amendes d'un faible montant, mais commandent de s'écarter de la peine privative de liberté de substitution schématique d'un jour par tranche de CHF 100.- d'amende. Compte tenu de son argent de poche de CHF 60.- par semaine, il apparaît adéquat d'infliger à l'appelant une amende de CHF 20.-, pour chaque vol d'importance mineure retenu, soit pour 19 occurrences, ce qui correspond à une amende totale de CHF 380.-. Compte tenu des deux amendes de CHF 400.- déjà infligées au prévenu, la peine complémentaire aux amendes prononcées les 28 décembre 2017 et 18 mars 2018 par le MP doit être nulle. Il n'est dès lors pas nécessaire de fixer une peine privative de liberté de substitution.</w:t>
      </w:r>
    </w:p>
    <w:p>
      <w:r>
        <w:rPr>
          <w:b/>
        </w:rPr>
        <w:t>E. 4</w:t>
      </w:r>
    </w:p>
    <w:p>
      <w:r>
        <w:t>4.1.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Selon l'art. 56 al. 2 CP, l'atteinte aux droits de la personnalité qui résulte pour l'auteur du prononcé de la mesure ne doit pas être disproportionnée au regard de la vraisemblance qu'il commette de nouvelles infractions et de leur gravité.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L'art. 56a CP rappelle que si plusieurs mesures s'avèrent appropriées, mais qu'une seule est nécessaire, le juge ordonne celle qui porte à l'auteur les atteintes les moins graves (arrêts du Tribunal fédéral 6B_950/2009 du 10 mars 2010 consid. 4 ; 6B_457/2007 du 12 novembre 2007 consid. 5.2 ; cf. ATF 118 IV 108 consid. 2a p. 113 et les références citées).</w:t>
      </w:r>
    </w:p>
    <w:p>
      <w:r>
        <w:rPr>
          <w:b/>
        </w:rPr>
        <w:t>E. 4.2</w:t>
      </w:r>
    </w:p>
    <w:p>
      <w:r>
        <w:t>Pour ordonner une des mesures prévues aux articles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À cet égard, les rapports de thérapeutes ne suffisent pas (ATF 134 IV 246 consid. 4.3). L'expert se détermine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p. 145 ss et les références ; arrêts du Tribunal fédéral 6B_1160/2017 du 17 avril 2018 consid. 2.1 ; 6B_1348/2017 du 22 janvier 2018 consid. 1.1.3 ; 6B_1297/2015 du 22 mars 2017 consid. 3.1 ; 6B_346/2016 du 31 janvier 2017 consid. 3.2 ; 6B_513/2015 du 4 février 2016 consid. 3.4 non publié in ATF 142 IV 56 et les références).</w:t>
      </w:r>
    </w:p>
    <w:p>
      <w:r>
        <w:rPr>
          <w:b/>
        </w:rPr>
        <w:t>E. 4.3</w:t>
      </w:r>
    </w:p>
    <w:p>
      <w:r>
        <w:t>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(arrêts du Tribunal fédéral 6B_31/2015 du 26 mai 2015, consid. 2.1; 6B_784/2010 du 2 décembre 2010 consid. 2.1). La référence à la gravité du trouble mental ne correspond pas à une description quantitative du dérangement psychique, mais signifie uniquement que le trouble mental doit être significatif sur le plan psychiatrique comme sur le plan juridique (arrêt du Tribunal fédéral 6B_31/2015 susmentionné consid. 2.1 et les références citées).</w:t>
      </w:r>
    </w:p>
    <w:p>
      <w:r>
        <w:rPr>
          <w:b/>
        </w:rPr>
        <w:t>E. 4.4</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La durée des mesures dépend des besoins de traitement de l'intéressé et des perspectives de succès de la mesure (cf. art. 56 al. 1 let. b CP). La mesure est ordonnée sans égard au type et à la durée de la peine prononcée. Sont déterminants l'état des facultés mentales de l'auteur ainsi que l'impact de la mesure sur le risque de commission d'autres infractions.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w:t>
      </w:r>
    </w:p>
    <w:p>
      <w:r>
        <w:rPr>
          <w:b/>
        </w:rPr>
        <w:t>E. 4.5</w:t>
      </w:r>
    </w:p>
    <w:p>
      <w:r>
        <w:t>En l'espèce, il ressort clairement de l'expertise que l'appelant présente une pathologie, en lien avec les infractions commises et nécessitant des soins et une prise en charge adéquate. La mesure thérapeutique institutionnelle au sens de l'art. 59 CP prononcée par le premier juge correspondait, au moment de cette décision, à sa situation. Celle-ci a toutefois évolué dans un sens favorable avec l'intégration réussie de l'appelant dans un établissement correspondant à sa pathologie et lui offrant le milieu étayé et l'encadrement préconisés par l'expert. Celui-ci a d'ailleurs souligné que si l'appelant était pris en charge dans une telle structure, le risque de récidive serait faible. Il apparaît ainsi que la prise en charge offerte par la résidence B______ des L______, mise en place dans un cadre purement civil par le SPAD, correspond à la mesure institutionnelle en milieu ouvert préconisée par l'expert. Cette prise en charge civile rend dès lors superflu le prononcé d'une mesure thérapeutique institutionnelle au sens de l'art. 59 CP. En revanche, cette prise en charge civile ne permet pas de garantir la prise en charge thérapeutique également nécessaire pour prévenir le risque de récidive. Celle-ci sera dès lors ordonnée sous forme d'un traitement ambulatoire au sens de l'art. 63 CP. Enfin, et bien que l'expert ne se soit pas expressément déterminé sur ce point, l'exécution de la peine privative de liberté sera suspendue au profit de la mesure de traitement ambulatoire, afin de permettre à l'appelant de demeurer sans interruption dans son lieu de séjour actuel et d'y poursuivre l'amélioration de sa situation et de sa santé. Afin de prévenir tout changement intempestif du lieu de résidence, le traitement sera accompagné d'une règle de conduite faisant obligation à l'appelant de séjourner dans un foyer structurant adapté, telle la résidence B______ des L______ qu'il occupe actuellement.</w:t>
      </w:r>
    </w:p>
    <w:p>
      <w:r>
        <w:rPr>
          <w:b/>
        </w:rPr>
        <w:t>E. 5</w:t>
      </w:r>
    </w:p>
    <w:p>
      <w:r>
        <w:t>5.1. Conformément à l'art. 49 de la loi fédérale complétant le code civil suisse (CO, code des obligations),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 130 III 699 consid. 5.1 p. 704 s. ; 129 IV 22 consid. 7.2 p. 36 et les références ; arrêt du Tribunal fédéral 6B_267/2016 du 15 février 2017 consid. 8.1). D'une manière générale, la jurisprudence récente tend à allouer des montants de plus en plus importants au titre du tort moral (ATF 125 III 269 consid. 2a p. 274). S'agissant du montant de l'indemnité, toute comparaison avec d'autres affaires doit intervenir avec prudence, dès lors que le tort moral touche aux sentiments d'une personne déterminée dans une situation donnée et que chacun réagit différemment face au malheur qui le frappe. Il est ainsi particulièrement hasardeux de mettre en parallèle les souffrances vécues par des victimes d'infractions contre l'intégrité corporelle, même lorsque les circonstances peuvent apparaître à première vue semblables (arrêt du Tribunal fédéral 6B_128/2017 du 9 novembre 2017 consid. 5.5). Une comparaison avec d'autres cas similaires peut cependant, suivant les circonstances, constituer un élément d'orientation utile (ATF 138 III 337 consid. 6.3.3 p. 345 ; arrêt du Tribunal fédéral 6B_118/2016 du 20 mars 2017 consid. 6.1).</w:t>
      </w:r>
    </w:p>
    <w:p>
      <w:r>
        <w:rPr>
          <w:b/>
        </w:rPr>
        <w:t>E. 5.2</w:t>
      </w:r>
    </w:p>
    <w:p>
      <w:r>
        <w:t>En l'espèce, le montant de CHF 800.- alloué par le premier juge à la victime apparaît adéquat, voire bas, compte tenu du choc subi par celle-ci et de la nécessité avérée d'une prise en charge thérapeutique pendant plusieurs mois. L'appelant ayant été considéré comme responsable de ces faits, il n'y a pas matière à réduire le montant dû, nonobstant sa situation financière précaire (art. 44 al. 2 et 54 CO, a contrario ). La condamnation de l'appelant à verser cette somme à la partie plaignante sera dès lors confirmée.</w:t>
      </w:r>
    </w:p>
    <w:p>
      <w:r>
        <w:rPr>
          <w:b/>
        </w:rPr>
        <w:t>E. 6</w:t>
      </w:r>
    </w:p>
    <w:p>
      <w:r>
        <w:t>L'appelant étant condamné à une peine excédant la détention avant jugement subie, il sera débouté de ses conclusions en indemnisation (art. 429 CPP et 51 CP).</w:t>
      </w:r>
    </w:p>
    <w:p>
      <w:r>
        <w:rPr>
          <w:b/>
        </w:rPr>
        <w:t>E. 7</w:t>
      </w:r>
    </w:p>
    <w:p>
      <w:r>
        <w:t>L'appelant, qui succombe pour l'essentiel, supportera la moitié des frais de la procédure envers l'État (art. 428 CPP), comprenant un émolument de jugement réduit à CHF 100.- afin de tenir compte de sa situation financière précaire (art. 425 CPP). Pour les mêmes motifs, sa condamnation aux frais de la procédure de première instance (en CHF 8'667.30) sera ramenée à CHF 500.-.</w:t>
      </w:r>
    </w:p>
    <w:p>
      <w:r>
        <w:rPr>
          <w:b/>
        </w:rPr>
        <w:t>E. 8</w:t>
      </w:r>
    </w:p>
    <w:p>
      <w:r>
        <w:t>Considéré globalement, l'état de frais produit par M e C______, défenseur d'office de A______ satisfait les exigences légales et jurisprudentielles régissant l'assistance judiciaire gratuite en matière pénale. Dans la mesure toutefois où il n'appartient pas à l'assistance judiciaire d'indemniser le maître de stage pour la formation qu'il a l'obligation de fournir à son stagiaire, le temps de préparation de l'audience d'appel, facturé tant par l'avocat chef d'étude que par le stagiaire, sera réduit de 1h30 d'activité du stagiaire. La rémunération de M e C______ sera partant arrêtée à CHF 1'248.25 correspondant à trois heures et demie d'activité au tarif de CHF 200.-/heure, deux heures d'activité au tarif de CHF 110.-/heure plus la majoration forfaitaire de 20%, un forfait de déplacement à CHF 55.- et l'équivalent de la TVA au taux de 7.7% en CHF 89.25.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