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P/16147/2021 vom 20. August 2021</w:t>
      </w:r>
    </w:p>
    <w:p>
      <w:r>
        <w:t>GE Cour de justice, 2021-08-20, FR</w:t>
      </w:r>
    </w:p>
    <w:p>
      <w:r>
        <w:rPr>
          <w:b/>
        </w:rPr>
        <w:t xml:space="preserve">Quelle: </w:t>
      </w:r>
      <w:r>
        <w:t>https://mcp.opencaselaw.ch/entscheid/ge_gerichte_P_16147_2021</w:t>
      </w:r>
    </w:p>
    <w:p>
      <w:r>
        <w:t>FR: GE_GERICHTE P/16147/2021 du 20 août 2021</w:t>
      </w:r>
    </w:p>
    <w:p>
      <w:r>
        <w:t>IT: GE_GERICHTE P/16147/2021 del 20 agosto 2021</w:t>
      </w:r>
    </w:p>
    <w:p>
      <w:pPr>
        <w:pStyle w:val="Heading2"/>
      </w:pPr>
      <w:r>
        <w:t>Regeste</w:t>
      </w:r>
    </w:p>
    <w:p>
      <w:r>
        <w:t>DÉTENTION PROVISOIRE;PROPORTIONNALITÉ | CPP.221; CEDH.5.al3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qui apparaissent, au vu des éléments au dossier, suffisantes au sens de l'art. 221 al. 1 première phrase CPP.</w:t>
      </w:r>
    </w:p>
    <w:p>
      <w:r>
        <w:rPr>
          <w:b/>
        </w:rPr>
        <w:t>E. 3</w:t>
      </w:r>
    </w:p>
    <w:p>
      <w:r>
        <w:t>Le recourant ne conteste pas non plus l'existence de risques de fuite et réitération, au sens des art. 221 al. 1 let. a et c CPP, ni l'absence de mesures de substitution (art. 237 CPP) pour les pallier, de sorte qu'il n'y a pas lieu de revenir sur ces points.</w:t>
      </w:r>
    </w:p>
    <w:p>
      <w:r>
        <w:rPr>
          <w:b/>
        </w:rPr>
        <w:t>E. 4</w:t>
      </w:r>
    </w:p>
    <w:p>
      <w:r>
        <w:t>Le recourant critique, sous l'angle de l'art. 5 § 3 1 ère phrase CEDH, la durée de la détention provisoire ordonnée.</w:t>
      </w:r>
    </w:p>
    <w:p>
      <w:r>
        <w:rPr>
          <w:b/>
        </w:rPr>
        <w:t>E. 4.1</w:t>
      </w:r>
    </w:p>
    <w:p>
      <w:r>
        <w:t>À teneur de la disposition précitée, toute personne arrêtée ou détenue doit être aussitôt traduite devant un juge ou un autre magistrat habilité par la loi à exercer des fonctions judiciaires et a le droit d’être jugée dans un délai raisonnable, ou libérée pendant la procédure.</w:t>
      </w:r>
    </w:p>
    <w:p>
      <w:r>
        <w:rPr>
          <w:b/>
        </w:rPr>
        <w:t>E. 4.2</w:t>
      </w:r>
    </w:p>
    <w:p>
      <w:r>
        <w:t>En l'occurrence, le recourant estime que l'instruction est terminée – sous réserve d'une confrontation avec le lésé – et que son renvoi en jugement pourrait donc avoir lieu sans tarder. Il ressort toutefois du dossier que le recourant pourrait être impliqué dans d'autres vols commis dans les jours précédant le brigandage du 17 août 2021. On ne saurait dès lors reprocher au Ministère public de vouloir, d'une part, identifier ses comparses le jour des faits, pour préciser le comportement de chacun, et, d'autre part, investiguer pour déterminer l'étendue de l’activité illicite du prévenu. La confrontation avec le plaignant a été fixée au 23 septembre 2021. Durant les deux mois suivant celle-ci, l'instruction pourra se poursuivre en fonction du résultat des investigations policières, et, faute d'élément nouveau, le recourant être renvoyé en jugement. Il s'ensuit que la durée de la détention provisoire fixée par l'ordonnance querellée ne viole pas l'art. 5 § 3 CEDH, pas plus que le principe de la proportionnalité (art. 36 al. 3 Cst., 197 al. 1 et 212 al. 3 CPP) au vu de la peine concrètement encourue par le recourant, s'il devait être reconnu coupable des faits qui lui sont reprochés, compte tenu de ses antécédents.</w:t>
      </w:r>
    </w:p>
    <w:p>
      <w:r>
        <w:rPr>
          <w:b/>
        </w:rPr>
        <w:t>E. 5</w:t>
      </w:r>
    </w:p>
    <w:p>
      <w:r>
        <w:t>Le recours s'avère ainsi infondé et doit être rejeté.</w:t>
      </w:r>
    </w:p>
    <w:p>
      <w:r>
        <w:rPr>
          <w:b/>
        </w:rPr>
        <w:t>E. 6</w:t>
      </w:r>
    </w:p>
    <w:p>
      <w:r>
        <w:t>Le recourant, qui succombe, supportera les frais envers l'État, fixés en totalité à CHF 900.-, y compris un émolument de décision (art. 428 al. 1 CPP et 13 al. 1 du Règlement fixant le tarif des frais en matière pénale, RTFMP ; E 4 10.03).</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 5.1 ; 1B_705/2011 du 9 mai 2012 consid. 2.3.2 ; 1B_732/2011 du 19 janvier 2012 consid. 7.1 et 7.2).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7.2</w:t>
      </w:r>
    </w:p>
    <w:p>
      <w:r>
        <w:t>En l'occurrence, le recours, premier à être exercé, n'étant pas manifestement abusif, l'assistance juridique sera accordée pour le recours, et l'indemnité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