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P/16133/2020 vom 16. Juli 2021</w:t>
      </w:r>
    </w:p>
    <w:p>
      <w:r>
        <w:t>GE Cour de justice, 2021-07-16, FR</w:t>
      </w:r>
    </w:p>
    <w:p>
      <w:r>
        <w:rPr>
          <w:b/>
        </w:rPr>
        <w:t xml:space="preserve">Quelle: </w:t>
      </w:r>
      <w:r>
        <w:t>https://mcp.opencaselaw.ch/entscheid/ge_gerichte_P_16133_2020</w:t>
      </w:r>
    </w:p>
    <w:p>
      <w:r>
        <w:t>FR: GE_GERICHTE P/16133/2020 du 16 juillet 2021</w:t>
      </w:r>
    </w:p>
    <w:p>
      <w:r>
        <w:t>IT: GE_GERICHTE P/16133/2020 del 16 luglio 2021</w:t>
      </w:r>
    </w:p>
    <w:p>
      <w:pPr>
        <w:pStyle w:val="Heading2"/>
      </w:pPr>
      <w:r>
        <w:t>Regeste</w:t>
      </w:r>
    </w:p>
    <w:p>
      <w:r>
        <w:t>FIXATION DE LA PEINE;CONCOURS D'INFRACTIONS;EXPULSION(DROIT DES ÉTRANGERS) | CP.140.ch1; CP.139.ch1; LEI.115.al1.leta; LEI.115.al1.letb; LStup.19a.ch1; CP.66a.al1; CP.47; CP.49.al1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2.1.3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2.1.4.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2.2</w:t>
      </w:r>
    </w:p>
    <w:p>
      <w:r>
        <w:t>En l'espèce, la faute de A______ est lourde. Avec ses amis, il s'en est pris à des victimes sans défense, dont deux isolées, et a agi de manière brutale à deux reprises, avec une violence gratuite. Son attitude a été dangereuse et lâche. Pour le cas de I______, H______ et G______, il a été le leader, ce qu'il a admis en appel, et n'a pas hésité à menacer un des jeunes hommes de mort, tout en lui portant de nombreux coups et en l'étranglant d'une main. Il a ensuite frappé une autre victime, puis dépouillé les trois jeunes, sans aucun scrupule, en les empêchant de fuir, alors qu'ils étaient dans une grande détresse, leur laissant ainsi des séquelles tant physiques que psychiques, toutes attestées par la procédure, contrairement à ce que soutient l'appelant. Ce dernier a également tendu un piège à E______, le distrayant en lui demandant une cigarette, afin que son comparse puisse l'immobiliser dans le but de lui voler son téléphone. S'agissant de F______, bien qu'il n'ait pas arraché lui-même le sac à main, il n'a pas hésité à vider son contenu devant sa victime, avant de prendre la fuite en courant avec le téléphone portable de celle-ci, affirmant à la police qu'il s'agissait du sien. L'appelant a, par ailleurs, consommé des stupéfiants et a agi au mépris de la législation régulant le séjour des étrangers, ce qui démontre une grande indifférence quant à l'ordre juridique suisse dont il a violé plusieurs biens essentiels protégés. Il a agi par égoïsme primaire et par appât du gain facile, rien au dossier ne permettant de soutenir le contraire au vu notamment des objets dérobés. Le mobile relève par ailleurs de la pure convenance personnelle s'agissant des infractions à la LEI et à la LStup. Même si la période pénale est courte s'agissant des brigandages et du vol, le recours inquiétant à la violence facile est inquiétant de même que la forte intensité délictuelle découlant de la répétition des actes dont il a fait preuve en quelques heures seulement. Sa situation personnelle, de même que sa consommation d'alcool dont le taux n'était pas particulièrement élevé (0,5 ‰), ne justifient en rien ses actes et la gravité de sa faute au vu notamment des circonstances des trois attaques, d'autant plus qu'il les a commis à peine un mois après son arrivée en Suisse, alors qu'il indique être venu dans ce pays pour trouver un travail et changer de vie. On peine à comprendre en quoi ses antécédents de vie devraient atténuer sa peine dès lors qu'il a grandi avec ses grands-parents en Algérie, tout en bénéficiant d'une formation obligatoire, à tout le moins en partie, et d'une formation professionnelle de marin qualifié, métier qu'il a pu exercer. Il n'a en outre pas fait état d'un projet de vie concret, indiquant uniquement qu'il avait des connaissances qui lui permettraient de trouver un travail. Ceci ne permet pas de présager d'une évolution favorable. La collaboration de l'appelant a été médiocre, puisqu'il a persisté à nier son implication, en rejetant la faute sur ses deux amis, et en tenant des propos contradictoires. Le fait qu'il ait admis quelques faits en cours d'instruction et finalement leur intégralité devant le TP ne remet pas en cause ce constat, dès lors qu'il n'a commencé à changer de version qu'à partir du moment où il a eu connaissance des accusations étayées des plaignants et a réalisé le peu de consistance de ses propres déclarations. L'appelant a, certes, manifesté son repentir, mais il apparaît qu'il s'est excusé uniquement dès qu'il a commencé à comprendre que des faits seraient retenus à son encontre ou pour se dédouaner des actes reprochés. Ses remords démontrent ainsi une attitude purement égocentrique et sa prise de conscience ne peut qu'être qualifiée de faible en regard de ses antécédents. L'indemnisation peu conséquente des victimes n'est intervenue qu'après l'audience de première instance. L'appelant a des antécédents spécifiques, tant en ce qui concerne la LEI que les vols et les brigandages, et ce même si les circonstances des actes ne sont pas en tous points identiques, les biens juridiques protégés étant similaires. Il a été condamné à une peine pécuniaire en Suisse en août 2020 pour séjour illégal et a une peine privative de liberté d'ensemble de deux ans et six mois en Allemagne pour quatre vols en bande et un brigandage commis entre novembre 2016 et avril 2017. Son parcours démontre ainsi qu'il est ancré dans la délinquance et que les sanctions prononcées jusqu'ici n'ont eu que peu d'effet sur ses agissements illicites. Par ailleurs, sa peine ne peut être réduite au seul motif qu'elle serait identique à celle de J______, lequel aurait provoqué en plus des désagréments causés par la confrontation à un acte d'ordre sexuel, dès lors que chaque peine doit être individualisée et, qu'en tout état de cause, il n'y a pas de concours aggravant entre des crimes et une contravention. Il est établi par la procédure que l'appelant a participé activement aux vols commis, ayant même été le leader du groupe, ce qui entraîne une conséquence sur la fixation de la peine. Du reste, la quotité de la peine infligée à J______ échappe à la cognition de la CPAR. A juste titre, l'appelant ne remet en cause ni le type de peine prononcée, ni le refus du sursis, le pronostic ne pouvant qu'être défavorable compte tenu de ses récidives spécifiques. Il y a concours d'infractions passibles du même genre de peine, ce qui aggrave nécessairement celle-ci. Il faut donc tenir compte de l'infraction abstraitement la plus grave, soit le brigandage dont la peine privative de liberté se situe entre six mois à dix ans, et l'augmenter dans une juste proposition en comptabilisant les autres infractions commises. Au vu de l'ensemble des circonstances, la peine privative de liberté, vu le concours d'infractions, pourrait atteindre deux ans et quatre mois. En effet, compte tenu de l'ensemble des circonstances, la sanction de l'infraction la plus grave (art. 140 ch. 1 CP) devrait être fixée à un an et six mois, augmentée de huit mois, puis de deux mois, pour tenir compte du vol (peine hypothétique – art. 139 ch. 1 CP : 10 mois) et des infractions à la LEI (peine hypothétique – art. 115 al.1 let. a et b LEI : trois mois). La peine de 24 mois prononcée en première instance, d'une certaine clémence, de même que l'amende de CHF 100.-, non contestée à raison, devront donc être confirmées et l'appel rejeté sur ce point.</w:t>
      </w:r>
    </w:p>
    <w:p>
      <w:r>
        <w:rPr>
          <w:b/>
        </w:rPr>
        <w:t>E. 3.1</w:t>
      </w:r>
    </w:p>
    <w:p>
      <w:r>
        <w:t>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3.2</w:t>
      </w:r>
    </w:p>
    <w:p>
      <w:r>
        <w:t>En l'espèce, l'appelant ne conteste pas son expulsion de Suisse, prononcée en application de l'art. 66a al. 1 CP, mais seulement l'inscription de celle-ci dans le SIS. Il dit vouloir partir en France ou en Espagne dès sa sortie de prison pour trouver un travail et fonder une famille. Or, outre le fait qu'aucun élément n'indique qu'il serait autorisé à séjourner dans ces pays, rien ne l'empêche de concrétiser ses projets dans son pays natal, dès lors qu'il y a déjà exercé sa profession de marin durant une année et que sa famille y réside encore à ce jour. Il peut aussi travailler hors espace Schengen. Au vu des infractions commises dans des états membres de l'espace Schengen et de la récidive spécifique, l'intérêt de la collectivité à son éloignement durable de l'espace Schengen prime sur son intérêt privé. C'est donc à juste titre que le premier juge a décidé que son expulsion devait être signalée dans le SIS. L'appel sera partant également rejeté sur ce point dès lors que la mesure est proportionnée.</w:t>
      </w:r>
    </w:p>
    <w:p>
      <w:r>
        <w:rPr>
          <w:b/>
        </w:rPr>
        <w:t>E. 4</w:t>
      </w:r>
    </w:p>
    <w:p>
      <w:r>
        <w:t>4.1. L'appelant, qui succombe, supportera les frais de la procédure envers l'Etat (art. 428 CPP), comprenant un émolument d'arrêt de CHF 1'500.-.</w:t>
      </w:r>
    </w:p>
    <w:p>
      <w:r>
        <w:rPr>
          <w:b/>
        </w:rPr>
        <w:t>E. 4.2</w:t>
      </w:r>
    </w:p>
    <w:p>
      <w:r>
        <w:t>Les frais arrêtés en première instance, y compris l'émolument de jugement complémentaire, seront confirmés vu l'issue de l'appel (art. 426 CPP).</w:t>
      </w:r>
    </w:p>
    <w:p>
      <w:r>
        <w:rPr>
          <w:b/>
        </w:rPr>
        <w:t>E. 5</w:t>
      </w:r>
    </w:p>
    <w:p>
      <w:r>
        <w:t>5.1.1.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150.- pour le collaborateur (let. b), l'équivalent de la TVA est versé en sus, pour autant qu'il y soit assujetti (arrêts du Tribunal fédéral 6B_486/2013 du 16 juillet 2013 consid. 4 et 6B_638/2012 du 10 décembre 2012 consid. 3.7).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 AARP/184/2016 du 28 avril 2016 consid. 5.2.3.2 et 5.3.1 ; AARP/149/2016 du 20 avril 2016 consid. 5.3 et 5.4 ; AARP/146/2013 du 4 avril 2013) ou encore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5.1.3.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5.2</w:t>
      </w:r>
    </w:p>
    <w:p>
      <w:r>
        <w:t>En l'occurrence, les 70 minutes d'activité facturées par la défenseure d'office de l'appelant pour l'étude du jugement motivé et pour la rédaction de la déclaration d'appel sont rémunérées par le forfait. La consultation du dossier en appel n'était en outre pas nécessaire, dès lors que toutes les pièces ont été transmise aux parties, à l'exception de la déclaration d'accident d'un des plaignants, laquelle était sans effet sur la situation des prévenus. Les trois heures et 20 minutes consacrées à la préparation de l'audience d'appel sont excessives eu égard à l'absence de complexité du dossier, seule la peine étant encore contestée en appel, étant précisé que l'avocate connaissait bien le dossier pour l'avoir plaidé en première instance peu de temps auparavant. Deux heures et 30 minutes apparaissent suffisantes à cette fin. M e D______, qui a le statut de collaboratrice, ne démontre enfin pas être assujettie à la TVA à titre personnel. En conclusion, la rémunération sera arrêtée à CHF 1'161.25 TTC, correspondant à 6h35 d'activité au tarif de CHF 150.-/heure (CHF 987.50) plus la majoration forfaitaire de 10% (CHF 98.75), compte tenu de l'activité déployée en première instance, et la vacation de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