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P/16126/2017 vom 20. September 2018</w:t>
      </w:r>
    </w:p>
    <w:p>
      <w:r>
        <w:t>GE Cour de justice, 2018-09-20, FR</w:t>
      </w:r>
    </w:p>
    <w:p>
      <w:r>
        <w:rPr>
          <w:b/>
        </w:rPr>
        <w:t xml:space="preserve">Quelle: </w:t>
      </w:r>
      <w:r>
        <w:t>https://mcp.opencaselaw.ch/entscheid/ge_gerichte_P_16126_2017</w:t>
      </w:r>
    </w:p>
    <w:p>
      <w:r>
        <w:t>FR: GE_GERICHTE P/16126/2017 du 20 septembre 2018</w:t>
      </w:r>
    </w:p>
    <w:p>
      <w:r>
        <w:t>IT: GE_GERICHTE P/16126/2017 del 20 settembre 2018</w:t>
      </w:r>
    </w:p>
    <w:p>
      <w:pPr>
        <w:pStyle w:val="Heading2"/>
      </w:pPr>
      <w:r>
        <w:t>Regeste</w:t>
      </w:r>
    </w:p>
    <w:p>
      <w:r>
        <w:t>SÉQUESTRE(LP) ; MOTIVATION ; ESCROQUERIE | CPP.392; CPP.80; CP.196; CP.146</w:t>
      </w:r>
    </w:p>
    <w:p>
      <w:pPr>
        <w:pStyle w:val="Heading2"/>
      </w:pPr>
      <w:r>
        <w:t>Erwägungen</w:t>
      </w:r>
    </w:p>
    <w:p>
      <w:r>
        <w:rPr>
          <w:b/>
        </w:rPr>
        <w:t>E. 1</w:t>
      </w:r>
    </w:p>
    <w:p>
      <w:r>
        <w:t>Au vu de leur connexité et de leur contexte analogue les recours seront joints. Ce sont, en effet, autant de raisons objectives de le faire (art. 30 CPP). La Chambre de céans statuera donc par un seul arrêt.</w:t>
      </w:r>
    </w:p>
    <w:p>
      <w:r>
        <w:rPr>
          <w:b/>
        </w:rPr>
        <w:t>E. 2</w:t>
      </w:r>
    </w:p>
    <w:p>
      <w:r>
        <w:t>Les recours sont recevables pour avoir été déposés selon la forme et dans le délai prescrits (art. 385 al. 1 et 396 al. 1 CPP), concerner des décisions sujettes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3</w:t>
      </w:r>
    </w:p>
    <w:p>
      <w:r>
        <w:t>La Chambre de céans peut décider d'emblée de traiter sans échange d'écritures ni débats les recours manifestement mal fondés (art. 390 al. 2 et 5 a contrario CPP). Tel est le cas en l'occurrence s'agissant du recours dirigé contre l'ordonnance de classement, au vu des considérations qui suivent. La question de la qualité de F______ SA et de E______ SA à participer à la procédure de recours ne se pose dès lors pas.</w:t>
      </w:r>
    </w:p>
    <w:p>
      <w:r>
        <w:rPr>
          <w:b/>
        </w:rPr>
        <w:t>E. 4</w:t>
      </w:r>
    </w:p>
    <w:p>
      <w:r>
        <w:t>À l'appui de son recours contre l'ordonnance de classement, la recourante reproche au Procureur un défaut de motivation de sa décision faute de s'être exprimé sur divers éléments qu'elle a cités.</w:t>
      </w:r>
    </w:p>
    <w:p>
      <w:r>
        <w:rPr>
          <w:b/>
        </w:rPr>
        <w:t>E. 4.1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 v. aussi ATF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(ATF 126 I 15 consid. 2a/aa p. 16; 125 II 369 consid. 2c p. 372; 124 II 146 consid. 2a p. 149; 124 V 180 consid. 1a p. 181 et les arrêts cités).</w:t>
      </w:r>
    </w:p>
    <w:p>
      <w:r>
        <w:rPr>
          <w:b/>
        </w:rPr>
        <w:t>E. 4.2</w:t>
      </w:r>
    </w:p>
    <w:p>
      <w:r>
        <w:t>En l'espèce, la motivation de la décision de classement est suffisante, la recourante ayant parfaitement compris ce qui avait guidé le Procureur, soit l'absence d'infraction pénale, pour lui permettre de recourir. Le Ministère public n'était pas tenu de répondre point par point à chacune de ses déterminations. En outre, le classement de la procédure ne nécessitait pas de motivation s'agissant des séquestres demandés.</w:t>
      </w:r>
    </w:p>
    <w:p>
      <w:r>
        <w:rPr>
          <w:b/>
        </w:rPr>
        <w:t>E. 5</w:t>
      </w:r>
    </w:p>
    <w:p>
      <w:r>
        <w:t>La recourante fait également le grief de constatation erronée des faits. Elle reproche au Ministère public son analyse du contrat du 26 décembre 2016; de ne pas avoir constater le détournement du séquestre civil, consistant à déguiser une réalité économique restée la même sous l'artifice d'une succession de contrats de façade, le caractère suspicieux de la cessation apparente des rapports contractuels entre EAO et B______ et l'absence de dépendance économique des entités C______ et B______ respectivement E______ SA et F______ SA.</w:t>
      </w:r>
    </w:p>
    <w:p>
      <w:r>
        <w:rPr>
          <w:b/>
        </w:rPr>
        <w:t>E. 5.1</w:t>
      </w:r>
    </w:p>
    <w:p>
      <w:r>
        <w:t>La Chambre de céans jouit d'un plein pouvoir de cognition en droit, en fait et en opportunité (art. 393 al. 2 CPP) (ATF 137 I 195 consid. 2.3.2 p. 197; arrêt du Tribunal fédéral 1B_524/2012 du 15 novembre 2012 consid. 2.1). Les constatations éventuellement inexactes du Ministère public sont ainsi corrigées dans l'état de fait pertinent établi ci-dessus.</w:t>
      </w:r>
    </w:p>
    <w:p>
      <w:r>
        <w:rPr>
          <w:b/>
        </w:rPr>
        <w:t>E. 6</w:t>
      </w:r>
    </w:p>
    <w:p>
      <w:r>
        <w:t>Elle fait grief d'une mauvaise application de l'art. 169 CP.</w:t>
      </w:r>
    </w:p>
    <w:p>
      <w:r>
        <w:rPr>
          <w:b/>
        </w:rPr>
        <w:t>E. 6.1</w:t>
      </w:r>
    </w:p>
    <w:p>
      <w:r>
        <w:t>Le classement doit être prononcé lorsqu'aucun soupçon justifiant une mise en accusation n'est établi (art. 319 al. 1 let. a CPP). Cette condition doit être interprétée à la lumière de la maxime " in dubio pro duriore ",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6.2</w:t>
      </w:r>
    </w:p>
    <w:p>
      <w:r>
        <w:t>Le classement doit également être prononcé lorsque les éléments constitutifs d'une infraction ne sont pas réalisés (art. 319 al. 1 let. b CPP), le principe " in dubio pro duriore " s'appliquant aussi dans ce cadre (arrêt du Tribunal fédéral 6B_1177/2017 précité).</w:t>
      </w:r>
    </w:p>
    <w:p>
      <w:r>
        <w:rPr>
          <w:b/>
        </w:rPr>
        <w:t>E. 6.3</w:t>
      </w:r>
    </w:p>
    <w:p>
      <w:r>
        <w:t>L'art. 169 CP punit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Les éléments objectifs de cette infraction sont ainsi l'existence d'une valeur patrimoniale, la mise sous main de justice de cette valeur, en l'espèce, sous la forme d'un séquestre et un comportement punissable propre à causer un dommage aux créanciers, en l'espèce, en disposant arbitrairement de la valeur patrimoniale. Cette disposition protège les créanciers de manière générale, mais sanctionne surtout l'insoumission aux mesures prises en vertu de la LP, c'est-à-dire une infraction contre l'autorité publique; on entend exclusivement une interdiction de disposer ou une restriction au droit de disposer ordonnée en vertu du droit de la poursuite pour dettes et la faillite. Dans tous ces cas, la mainmise doit être constatée officiellement par un acte valable et exécutoire (ATF 99 IV 146 , JdT 1974 IV 72; M. DUPUIS / L. MOREILLON / C. PIGUET / S. BERGER / M. MAZOU / V. RODIGARI (éds), Code pénal - Petit commentaire , 2 e éd., Bâle 2017, nos 1, 2 et 5 ad art. 169; B. CORBOZ, Les infractions en droit suisse , vol. I, 3 e éd., Berne 2010, nos 1 et 7 ad. art. 169). Le terme de valeur patrimoniale englobe aussi bien les choses que les créances ou autres droits, à la condition qu'ils aient une valeur économique. L'art. 169 CP s'applique également au salaire futur provenant d'un emploi et au revenu futur provenant d'une activité professionnelle indépendante. L'art. 169 CP ne sera applicable que si la saisie est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Si les gains du débiteur ont été inférieurs aux prévisions, le juge pénal, en suivant les règles de la LP, doit déterminer lui-même dans quelle mesure le débiteur pouvait et devait respecter la saisie (arrêt du Tribunal fédéral 6P_67/2004 du 6 août 2004). Dans le cas de l'acte de disposition, le législateur a ajouté l'adverbe "arbitrairement". Cette expression signifie simplement que l'acte de disposition n'est pas autorisé par la loi ou l'autorité compétente (B. CORBOZ, op. cit , no 17 ad. art. 169). Le comportement délictueux peut consister aussi bien dans la passation d'un acte juridique (l'auteur vend l'objet saisi à un tiers de bonne foi) que dans l'accomplisse-ment d'un acte purement matériel (l'auteur détruit l'objet saisi) (ATF 121 IV 356 consid. b, 75 IV 62 s. consid. 3). Il faut donc un acte par lequel l'auteur dispose de la chose; cet acte de disposition peut être matériel ou juridique (ATF 129 IV 69 consid. 2.1). Si le débiteur déclare faussement à l'huissier qu'il a disposé de l'objet saisi, il n'y a pas d'infraction à l'art. 169 CP, parce qu'un mensonge n'est pas un acte de disposition (ATF 129 IV 70 consid. 2.2). Un comportement purement passif, par exemple ne pas empêcher l'aliénation ou la destruction par un tiers, ne suffit pas pour constituer un détournement, parce que le débiteur n'est pas dans une position de garant à l'égard de ses créanciers; même s'il lui est interdit de disposer de la valeur patrimoniale, cette interdiction ne le place pas dans une position qui l'obligerait à veiller sur la valeur patrimoniale (ATF 121 IV 353 s. consid. b; B. CORBOZ, op. cit , nos 14 et 15 ad. art. 169). La doctrine unanime admet que l'auteur de l'infraction peut être n'importe qui, et non pas seulement le débiteur, ce qui n'est pas évident lorsqu'on lit, à l'art. 169 CP, la formule "ses créanciers" (B. CORBOZ, op. cit , no 10 ad. art. 169). À la différence de la violation d'une obligation d'entretien (art. 217 CP), l'art. 169 CP n'oblige pas le débiteur à faire des efforts en vue de payer ses dettes. Si l'auteur n'a rien gagné ou a gagné moins que prévu, il importe peu de savoir s'il aurait pu gagner quelque chose ou gagner plus (B. CORBOZ, op. cit , no 19 ad. art. 169). L'obligation du débiteur de conserver les objets mis sous main de justice ne le place pas dans une position de garant vis-à-vis du créancier, ou vis-à-vis des autorités de poursuites et faillites. Une simple abstention ne peut donc en tout cas pas être assimilée à un acte de disposition arbitraire au sens de l'art. 169 CP (ATF 121 IV 353 ).</w:t>
      </w:r>
    </w:p>
    <w:p>
      <w:r>
        <w:rPr>
          <w:b/>
        </w:rPr>
        <w:t>E. 6.4</w:t>
      </w:r>
    </w:p>
    <w:p>
      <w:r>
        <w:t>Il n'y a ainsi pas lieu de remettre en question l'ordonnance du 30 juin 2016 du TPI, bien que prononcée en procédure sommaire et sur la base de la vraisemblance, en ce qu'elle a admis le séquestre sur les créances futures issues de la livraison, également futures, de pétrole. B______ et F______ SA étaient liées par un contrat-cadre du 26 décembre 2016 d'une durée s'étendant du 1 er janvier au 31 décembre 2017. Ces parties ont, ensuite, conclu des contrats, "enclosures", dont quatre ont été versés à la procédure. Le dernier produit est daté du 25 mai 2017 pour une livraison durant le mois de juin 2017 et F______ SA a déclaré n'avoir requis l'émission d'aucune nouvelle lettre de crédit depuis le séquestre du 23 juin 2017. Il apparaît ainsi hautement vraisemblable que B______ n'a plus livré de pétrole à F______ SA, donnant naissance à une créance en paiement frappée par le séquestre, après cette date. Cela étant, la valeur patrimoniale sur laquelle le séquestre du 30 juin 2016 a porté était la créance en paiement dont F______ SA aurait été débitrice s'il y avait eu livraison. Comme l'a précisé le Ministère public, le séquestre ne portait pas sur le pétrole, ni d'ailleurs sur la créance en livraison de ce pétrole. Or, faute de livraison de marchandises, il n'y a pas eu de naissance de créance en paiement. L'acte de disposition étant l'acte juridique par lequel un droit subjectif est transféré, constitué ou éteint, s'agissant d'une créance en paiement, l'acte de disposition " classique " serait sa cession. En l'espèce, il est reproché à B______ - et F______ SA - de ne plus avoir signé d'"enclosure" après le 25 mai 2017 donnant naissance aux créances de livraison et à celle en paiement de la marchandise, séquestrée en main de F______ SA. Ce faisant, B______ n'a pas disposé, par un comportement actif valant manifestation de volonté, de la créance "future" en paiement. B______, car, n'étant pas le garant de la recourante, elle n'était pas tenue envers cette dernière de veiller sur la valeur patrimoniale séquestrée. À teneur du dossier, B______ et C______ ont annoncé avoir conclu, le 18 juillet 2017, un contrat de vente, respectivement d'achat, de pétrole brut portant sur une quantité pouvant aller jusqu'à 150'000 tonnes. Ce faisant, B______ n'a pas disposé de sa créance future séquestrée en main de B______ mais du pétrole, bien matériel non séquestré. Il importe dès lors peu sous l'angle de l'art. 169 CP que C______ ait ensuite vendu, ou non, le pétrole à E______ SA et que celle dernière l'ait, elle-même, revendu à F______ SA. C'est ainsi à bon droit que le Procureur a considéré qu'aucune infraction à l'art. 169 CP n'avait été commise.</w:t>
      </w:r>
    </w:p>
    <w:p>
      <w:r>
        <w:rPr>
          <w:b/>
        </w:rPr>
        <w:t>E. 7</w:t>
      </w:r>
    </w:p>
    <w:p>
      <w:r>
        <w:t>Dans son recours, la recourante fait allusion à l'infraction d'escroquerie mais sans aucun développement.</w:t>
      </w:r>
    </w:p>
    <w:p>
      <w:r>
        <w:rPr>
          <w:b/>
        </w:rPr>
        <w:t>E. 7.1</w:t>
      </w:r>
    </w:p>
    <w:p>
      <w:r>
        <w:t>À teneur de l'art. 146 CP,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w:t>
      </w:r>
    </w:p>
    <w:p>
      <w:r>
        <w:rPr>
          <w:b/>
        </w:rPr>
        <w:t>E. 7.2</w:t>
      </w:r>
    </w:p>
    <w:p>
      <w:r>
        <w:t>Le schéma décrit par la recourante selon lequel F______ SA, E______ SA, C______ et B______ auraient agi de concert pour mettre en place une structure juridique de façade, n'ayant d'autre but que de la léser elle, A______ LTD, en tant que créancière de B______, ne permet pas de considérer que les conditions de cet art. 146 CP seraient réunies soit que la recourante ait été la victime abusée induite à un comportement préjudiciable à ses intérêts.</w:t>
      </w:r>
    </w:p>
    <w:p>
      <w:r>
        <w:rPr>
          <w:b/>
        </w:rPr>
        <w:t>E. 8</w:t>
      </w:r>
    </w:p>
    <w:p>
      <w:r>
        <w:t>L'ordonnance de classement étant confirmée, cela scelle le sort des séquestres requis qui n'ont pas à être ordonnés, même sous l'angle de la créance compensatrice, vu l'absence d'infraction. Le premier recours, dirigé contre l'ordonnance de refus de séquestre, est dès lors sans objet.</w:t>
      </w:r>
    </w:p>
    <w:p>
      <w:r>
        <w:rPr>
          <w:b/>
        </w:rPr>
        <w:t>E. 9</w:t>
      </w:r>
    </w:p>
    <w:p>
      <w:r>
        <w:t>La recourante reproche, enfin, dans son recours du 1 er octobre 2018, au Procureur un déni de justice, sans cependant avoir pris de conclusion formelle en ce sens.</w:t>
      </w:r>
    </w:p>
    <w:p>
      <w:r>
        <w:rPr>
          <w:b/>
        </w:rPr>
        <w:t>E. 9.1</w:t>
      </w:r>
    </w:p>
    <w:p>
      <w:r>
        <w:t>L'autorité qui se refuse à statuer, ou ne le fait que partiellement, commet un déni de justice, prohibé par l'art. 29 al. 1 Cst. (arrêt du Tribunal fédéral 1B_590/2012 du 13 mars 2013 consid. 3.1). 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 3e éd., Zurich 2011, n. 187).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pouvant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2A_588/2006 du 19 avril 2007 consid. 2 et la référence à l'ATF 125 V 373 consid. 2b/aa p. 375 ; 6B_1066/2013 du 27 février 2014 consid. 1.1.2).</w:t>
      </w:r>
    </w:p>
    <w:p>
      <w:r>
        <w:rPr>
          <w:b/>
        </w:rPr>
        <w:t>E. 9.2</w:t>
      </w:r>
    </w:p>
    <w:p>
      <w:r>
        <w:t>En l'espèce, lors du dépôt du recours, le Procureur avait, déjà, prononcé les ordres de dépôt le 12 juillet 2018, de sorte que le grief concerne l'absence de décision s'agissant des séquestres des valeurs patrimoniales. La recourante a certes demandé, lors du dépôt de sa plainte, le 8 août 2017, le séquestre pénal du produit de la vente du pétrole en mains de F______ SA (cf. supra B.h.a). Cependant, elle a, ensuite, le 28 mars 2018, insisté pour que des ordres de dépôt complémentaires soient adressés, " en vue d'ordonner le séquestre des avoirs de C______ " (cf. supra B.q.) et, le 6 juillet 2018, critiqué l'inertie du Procureur à prononcer les ordres de dépôt, " lesquels anticipaient les mesures de séquestre pénal " (cf. supra B.r.); lesdits ordres ont été prononcés le 12 suivant. Ce n'est que le 31 août 2018, qu'elle a, à nouveau, requis le séquestre pénal des avoirs litigieux en mains de D______ SA, E______ SA, ainsi que de F______ SA (cf. supra B.u.). Elle a réitéré sa demande le 12 septembre 2018 (cf. supra B.v.). Le Procureur a rendu sa décision de refus de séquestre le 20 suivant. La recourante a ainsi obtenu, après que les ordres de dépôts requis eussent été ordonnés, la décision querellée dans un délai de moins d'un mois après sa relance du 31 août 2018. Aucun déni de justice n'a dès lors été commis par le Procureur.</w:t>
      </w:r>
    </w:p>
    <w:p>
      <w:r>
        <w:rPr>
          <w:b/>
        </w:rPr>
        <w:t>E. 10</w:t>
      </w:r>
    </w:p>
    <w:p>
      <w:r>
        <w:t>La recourante, qui succombe, supportera les frais envers l'État, qui comprendront un émolument de CHF 4'000.-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