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P/16101/2023 vom 1. September 2025</w:t>
      </w:r>
    </w:p>
    <w:p>
      <w:r>
        <w:t>GE Cour de justice, 2025-09-01, FR</w:t>
      </w:r>
    </w:p>
    <w:p>
      <w:r>
        <w:rPr>
          <w:b/>
        </w:rPr>
        <w:t xml:space="preserve">Quelle: </w:t>
      </w:r>
      <w:r>
        <w:t>https://mcp.opencaselaw.ch/entscheid/ge_gerichte_P_16101_2023</w:t>
      </w:r>
    </w:p>
    <w:p>
      <w:r>
        <w:t>FR: GE_GERICHTE P/16101/2023 du 1 septembre 2025</w:t>
      </w:r>
    </w:p>
    <w:p>
      <w:r>
        <w:t>IT: GE_GERICHTE P/16101/2023 del 1 settembre 2025</w:t>
      </w:r>
    </w:p>
    <w:p>
      <w:pPr>
        <w:pStyle w:val="Heading2"/>
      </w:pPr>
      <w:r>
        <w:t>Regeste</w:t>
      </w:r>
    </w:p>
    <w:p>
      <w:r>
        <w:t>LOI FÉDÉRALE SUR LES ARMES; LES ACCESSOIRES D'ARMES ET LES MUNITIONS;DISPOSITIONS PÉNALES DE LA LARM;NÉGLIGENCE;FIXATION DE LA PEINE;EXEMPTION DE PEINE | LArm.33.al1.leta; LArm.33.al2.par1; CP.12.al2; CP.12.al3; CP.47; Larm.33.al2.par2; CP.52; CPP.428; CPP.436.al2; CPP.442.al4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par.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(ATF 127 I 38 consid. 2a ;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33 al. 1 let. a LArm punit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Par armes, on entend notamment les engins conçus pour blesser des êtres humains, notamment les couteaux dont la lame est libérée par un mécanisme d'ouverture automatique pouvant être actionné d'une seule main (art. 4 al. 1 let. c LArm et 7 al. 1 let. a de l'ordonnance sur les armes [OArm]). Les couteaux, dont le mécanisme d'ouverture peut être actionné d'une seule main et se déclenche automatiquement, sont interdits sur le territoire suisse (art. 5 al. 2 let. a LArm et art. 13 a al. 1 let. b OArm). La notion d'acquisition, selon l'art. 33 al. 1 let. a LArm, vise toute forme de transfert, juridique ou non, permettant à l'auteur d'obtenir une maîtrise de fait autonome sur une arme (ATF 143 IV 347 consid. 3.4 ; arrêts du Tribunal fédéral 6B_376/2019 du 16 avril 2019 consid. 2.1 ; 6B_884/2013 du 9 octobre 2014 consid. 3.3.2). Quant à l'expression " sans droit ", elle signifie que l'acte est commis en l'absence de l'autorisation requise – notamment un permis d'acquisition d'armes –, qu'il porte sur des armes prohibées par la loi ou que des armes sont remises à des tiers qui, eux-mêmes, ne sont pas titulaires de l'autorisation requise (arrêt du Tribunal fédéral 6B_376/2019 du 16 avril 2019 consid. 2.3). La LArm a pour objectif de lutter contre l'utilisation abusive d'armes, d'accessoires d'armes et de munitions, c'est-à-dire de protéger l'ordre public, ainsi que la sécurité des personnes et des biens, par un contrôle accru de l'achat et du port d'armes individuelles ; en outre, elle cherche à prévenir le risque de fausses manipulations, afin d'éviter, autant que faire se peut, toute utilisation dangereuse pour le détenteur lui-même ou pour autrui (arrêts du Tribunal fédéral 6B_650/2022 du 12 décembre 2024 consid. 3.1.1 ; 6B_227/2007 du 5 octobre 2007 consid. 6.1.2). L'art. 33 al. 1 let. a LArm est une infraction de mise en danger abstraite pour laquelle il est admis que l'acte en lui-même est tenu pour dangereux et doit être puni comme tel, sans exiger que le danger se soit effectivement manifesté (arrêt du Tribunal fédéral 6B_650/2022 du 12 décembre 2024 consid. 3.2). Les art. 33 et 34 LArm jouent ainsi un rôle essentiel en concrétisant sur le plan pénal le but poursuivi par la législation suisse sur les armes. Or, la seule introduction sur le territoire souverain suisse d'une arme sans autorisation constitue déjà un danger abstrait pour la sécurité publique, même si celle-ci est ensuite interceptée par la douane ( AARP/131/2025 du 3 avril 2025 consid. 2.1.1.2). 2.1.3. Selon l'art. 12 al. 2 du Code pénal (CP), agit intentionnellement quiconque commet un crime ou un délit avec conscience et volonté. L'auteur agit déjà intentionnellement lorsqu'il tient pour possible la réalisation de l'infraction et l'accepte au cas où celle-ci se produirait.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 du Tribunal fédéral 6B_557/2015 du 28 janvier 2016 consid. 2.2 et les références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JdT 2007 I 573 ; 125 IV 242 consid. 3c ; arrêt du Tribunal fédéral 6B_1189/2014 du 23 décembre 2015 consid. 5.2). 2.1.4. Selon l'art. 33 al. 2 LArm, dans sa teneur actuelle en vigueur depuis le 1 er juillet 2023, l'auteur qui agit par négligence est puni d'une peine pécuniaire. Au sens de l'art. 33 al. 2 phr. 1 aLArm, en vigueur au moment des faits reprochés (art. 2 al. 1 CP), l'auteur agissant par négligence était puni d'une amende. Une exemption de peine était possible dans les cas de peu de gravité (art. 33 al. 2 phr. 2 aLArm). La peine-menace visée à l'art. 33 aLArm, si cette disposition lui est applicable, est ainsi plus favorable à l'appelante. Par opposition à l'infraction intentionnelle, la négligence suppose que l'auteur n'ait pas l'intention de réaliser un comportement qui lèse ou mette en danger un bien juridique (M. DUPUIS / L. MOREILLON / C. PIGUET / S. BERGER / M. MAZOU / V. RODIGARI [éds], Code pénal - Petit commentaire, 2 ème éd., Bâle 2017, ad art. 12, n. 28).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2.2.1. En l'espèce, il est établi et non contesté que l'appelante, lors de son contrôle à la frontière du 21 juin 2023 à son entrée en Suisse, était en possession d'un couteau à ouverture latérale automatique, soit une arme, lequel a été retrouvé dans son véhicule, après y être demeuré à la suite du déménagement de sa voisine. Bien que feu G______ détenait un inventaire précis de sa collection, qui ne mentionnait pas le couteau en question, l'on ne saurait affirmer, sans doute raisonnable, qu'il ne lui appartenait pas puisqu'il est justifié de penser que ce dernier n'allait pas mentionner dans son inventaire l'existence d'une arme dont il ne pouvait que savoir qu'elle était interdite. Les déclarations de l'appelante à ce sujet ont d'ailleurs été constantes tout au long de la procédure. Selon toute vraisemblance, l'on doit admettre que le couteau à cran d'arrêt provenait bien de la collection d'armes de feu G______. En possédant ce couteau dans la boîte à gants de son véhicule et en l'introduisant sur le territoire suisse, l'appelante réalise les éléments constitutifs objectifs de l'art. 33 al. 1 let. a LArm. 2.2.2. Sur le plan subjectif, le TP a retenu que l'appelante avait agi intentionnellement, à tout le moins par dol éventuel. Celle-ci savait qu'il s'agissait d'une arme, dans la mesure où il avait été fait appel à un armurier pour reprendre la collection. En mettant le couteau dans la boîte à gants le jour du transport du stand de tir au domicile de sa voisine, au lieu de le remettre immédiatement à l'armurier, elle avait ainsi envisagé et accepté le risque de détenir et de passer la frontière avec une arme interdite, puisqu'elle se rendait régulièrement en France. Ce raisonnement ne peut être intégralement suivi. En effet, même si l'appelante a varié dans ses déclarations, il n'en demeure pas moins qu'en finalité, elle est toujours restée constante sur le fait, d'une part, que ce couteau était tombé au sol dans sa voiture puis avait été oublié dans la boîte à gants, d'autre part, qu'elle ne savait pas qu'il s'agissait d'une arme interdite, outre qu'en raison de son oubli, elle ne s'était jamais renseignée à ce sujet. Ses différentes déclarations et les éléments se trouvant au dossier ne suffisent pas à caractériser, sur le plan volitif, l'intention de posséder, puis d'importer une arme en Suisse. 2.2.3. L'infraction n'étant pas réalisée intentionnellement, la négligence entre en considération. À cet égard, il sera relevé que l'ordonnance pénale ne décrit pas l'élément subjectif de l'infraction, que ce soit dans le sens d'un comportement intentionnel ou par négligence. Certes, le MP a qualifié les faits d'infraction à l'art. 33 al. 1 let. a LArm, mais cette appréciation ne lie pas la Cour de céans. Par ailleurs, l'appelante ne s'est pas fourvoyée puisqu'en première instance déjà, elle a plaidé, à titre subsidiaire, l'infraction commise par négligence et pris des conclusions en ce sens, tout comme elle a évoqué ce point, via son conseil, à l'occasion des débats d'appel. L'ordonnance pénale, tenant lieu d'acte d'accusation, répondait ainsi a minima à sa fonction de délimitation et d'information puisque l'appelante a pris en compte les deux hypothèses pour les discuter, outre que celle présentement envisagée l'est en sa faveur. Par-devant le premier juge, A______ a déclaré que le couteau avait été découvert sur le sol de la voiture lors du trajet pour rendre visite à sa famille, lequel s'était déroulé à " une période lointaine du déménagement ". Elle n'avait dès lors pas la possibilité immédiate de remettre le couteau à sa voisine ou à l'armurier. En raison de sa nonchalance, elle l'avait oublié dans son véhicule. L'absence de démarche entreprise, au moment de la découverte du couteau et durant les jours qui ont suivi, pour le rendre ou le signaler, voire s'en débarrasser ne reflète pas forcément chez l'appelante une acceptation du risque de posséder et d'importer l'arme, mais seulement relève de la violation d'un devoir de prudence. Il ne lui est pas venu à l'esprit de s'interroger sur ce couteau, un objet singulier, qu'elle avait fini par oublier dans la boîte à gants jusqu'à son contrôle à la frontière. De surcroît, elle soutient qu'elle ne savait pas qu'un tel couteau à ouverture automatique est une arme interdite et elle ne l'avait jamais ouvert ni ne s'était renseignée à son sujet. Or, elle avait transporté une collection d'armes soumises à autorisation au moment du déménagement, un armurier était venu sur place et elle avait aidé sa voisine dans le cadre de démarches administratives relatives au rachat de ladite collection. Elle était donc consciente que la détention du couteau commandait des éclaircissements, sans quoi la situation était susceptible de poser problème, d'autant qu'elle traversait régulièrement la frontière avec son véhicule pour aller rendre visite à sa famille. Il était attendu d'elle qu'elle s'informe et règle la situation, ce qu'elle n'a fait, et son manque est blâmable. En choisissant de remettre au lendemain les éclaircissements commandés par les circonstances, l'appelante a fait preuve de négligence coupable, escomptant que le résultat ne se produirait pas. Au vu de ce qui précède, l'infraction de possession et d'importation en Suisse d'une arme interdite sans autorisation, au sens de l'art. 33 al. 2 phr. 1 aLArm, est donc réalisée et le jugement sera réformé en ce sens.</w:t>
      </w:r>
    </w:p>
    <w:p>
      <w:r>
        <w:rPr>
          <w:b/>
        </w:rPr>
        <w:t>E. 3</w:t>
      </w:r>
    </w:p>
    <w:p>
      <w:r>
        <w:t>L'infraction à l'art. 33 al. 2 1 ère phr. aLArm (dans sa teneur jusqu'au 30 juin 2023) est passible d'une amende.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à ce qu'il soit frappé dans la mesure adéquate (ATF 129 IV 6 consid. 6.1 = JdT 2005 IV p. 215 ; 119 IV 330 consid. 3). La situation économique déterminante est celle de l'auteur au moment où l'amende est prononcée (arrêt du Tribunal fédéral 6B_547/2012 du 26 mars 2013 consid. 3.4). Un jour de peine privative de liberté de substitution (art. 106 al. 2 CP) correspond schématiquement à CHF 100.- d'amende ( AARP/298/2022 du 29 septembre 2022 consid. 3.2.2 et les références citées ; L. MOREILLON / N. QUELOZ / A. MACALUSO / N. DONGOIS [éds], Commentaire romand, Code pénal I : art. 1-100 CP, 2 ème éd., Bâle 2021, n. 19 art. 106).</w:t>
      </w:r>
    </w:p>
    <w:p>
      <w:r>
        <w:rPr>
          <w:b/>
        </w:rPr>
        <w:t>E. 3.3</w:t>
      </w:r>
    </w:p>
    <w:p>
      <w:r>
        <w:t>La faute de l'appelante doit être qualifiée de légère. En effet, son comportement n'a jamais concrètement mis en danger la sécurité publique. Surtout, elle avait oublié que le couteau se trouvait en sa possession, ce qui signe une culpabilité de faible ampleur. Cela étant, elle aurait dû être plus consciencieuse et entreprendre des démarches actives pour rétablir une situation conforme à l'ordre juridique lorsqu'elle avait découvert le couteau sur le sol de sa voiture. Sa collaboration a été initialement correcte, dans la mesure où elle a immédiatement indiqué la provenance du couteau. Par la suite, elle a tergiversé et ne s'est pas montrée très directe dans ses explications. Elle n'a aucun antécédent judiciaire. Au vu de ce qui précède et compte tenu de sa bonne situation financière, une amende de CHF 700.- s'avèrerait appropriée. Celle-ci sera fixée à CHF 600.- pour tenir compte du jour de détention avant jugement subi par l'appelante.</w:t>
      </w:r>
    </w:p>
    <w:p>
      <w:r>
        <w:rPr>
          <w:b/>
        </w:rPr>
        <w:t>E. 3.4</w:t>
      </w:r>
    </w:p>
    <w:p>
      <w:r>
        <w:t>Dans les cas de peu de gravité, le juge peut exempter l'auteur de toute peine (art. 33 al. 2 2 ème phr. aLArm).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w:t>
      </w:r>
    </w:p>
    <w:p>
      <w:r>
        <w:rPr>
          <w:b/>
        </w:rPr>
        <w:t>E. 3.5</w:t>
      </w:r>
    </w:p>
    <w:p>
      <w:r>
        <w:t>L'appelante ne sera pas exemptée de toute peine au regard des circonstances sus-évoquées et du fait qu'elle aurait pu agir de manière consciencieuse et se renseigner sur le couteau dont elle disposait. En effet, force est de constater que sa prise de conscience n'est pas aboutie puisque ses déclarations ont varié et que, selon sa représentation, ses agissements n'étaient susceptibles d'entraîner de conséquences que pour elle-même (cf. création d'un antécédent et risque de perte de son emploi), sans qu'elle ne se soit rendue compte du danger pour la sécurité publique généré par le fait de posséder une arme interdite et de franchir la frontière avec celle-ci.</w:t>
      </w:r>
    </w:p>
    <w:p>
      <w:r>
        <w:rPr>
          <w:b/>
        </w:rPr>
        <w:t>E. 4</w:t>
      </w:r>
    </w:p>
    <w:p>
      <w:r>
        <w:t>L'appelante, obtenant partiellement gain de cause, ne sera condamnée au paiement des frais de procédure, dont un émolument de décision de CHF 1'500.- (art. 14 al. 1 let. e du Règlement fixant le tarif des frais en matière pénale [RTFMP]), qu'à hauteur de 80% (art. 428 al. 2 CPP). Il n'y a pas lieu de modifier les frais de première instance vu la confirmation du verdict de culpabilité (art. 428 al. 3 CPP).</w:t>
      </w:r>
    </w:p>
    <w:p>
      <w:r>
        <w:rPr>
          <w:b/>
        </w:rPr>
        <w:t>E. 5</w:t>
      </w:r>
    </w:p>
    <w:p>
      <w:r>
        <w:t>5.1. Si ni un acquittement total ou partiel, ni un classement de la procédure ne sont prononcés mais que le prévenu obtient gain de cause sur d'autres points, il a droit à une juste indemnité pour ses dépenses (art. 436 al. 2 CPP). L'indemnisation des honoraires d'avocat suit par parallélisme le sort des frais dans la même proportion (ATF 137 IV 352 consid. 2.4.2).</w:t>
      </w:r>
    </w:p>
    <w:p>
      <w:r>
        <w:rPr>
          <w:b/>
        </w:rPr>
        <w:t>E. 5.2</w:t>
      </w:r>
    </w:p>
    <w:p>
      <w:r>
        <w:t>En l'espèce, l'appelante a obtenu gain de cause partiel, ce qui lui ouvre un droit à l'indemnisation dans la même mesure, soit 20% de ses dépenses nécessaires.</w:t>
      </w:r>
    </w:p>
    <w:p>
      <w:r>
        <w:rPr>
          <w:b/>
        </w:rPr>
        <w:t>E. 5.3</w:t>
      </w:r>
    </w:p>
    <w:p>
      <w:r>
        <w:t>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3 ème éd., Bâle 2023 n. 19 ad art. 429). S'il s'écarte notablement de la note d'honoraires présentée, il doit en motiver les raisons (M. NIGGLI / M. HEER / H. WIPRÄCHTIGER, op. cit.,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5.4</w:t>
      </w:r>
    </w:p>
    <w:p>
      <w:r>
        <w:t>En l'occurrence, l'assistance de l'appelante par un avocat lui est acquise et l'état de frais produit apparaît adéquat, sous réserve de ce qui suit. S'agissant de l'activité facturée à CHF 450.-/heure, le temps consacré aux débats d'appel sera ramené à leur durée effective de 55 minutes et celui de préparation à l'audience réduit à deux heures, compte tenu de l'absence de complexité de l'affaire et de ses enjeux, eu égard à sa nature contraventionnelle. Le temps facturé pour la déclaration d'appel et l'examen du dossier sera réduit à une heure, puisque le poste lié à l'examen du dossier est déjà comptabilisé à hauteur de 50 minutes. Le temps consacré à l'examen du jugement motivé du TP sera réduit à 30 minutes, celui-ci étant en partie intégré dans le poste susmentionné lié à l'examen du dossier. Il n'y a pas lieu d'indemniser les 20 minutes dédiées au projet d'une lettre à la CPAR, celle-ci ayant déjà été décomptée. Il convient enfin de ne pas tenir compte des 30 minutes relatives aux courriers et courriels au TP ainsi qu'à M e I______, s'agissant d'un doublon. En conclusion, la rémunération de M e B______ sera arrêtée à CHF 980.10, soit 20% de CHF 4'900.55, correspondant à neuf heures et 20 minutes d'activité au tarif de CHF 450.-/heure et 50 minutes à CHF 400.-/heure, plus l'équivalent de la TVA au taux de 8.1% en CHF 367.20.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