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P/1608/2016 vom 2. November 2017</w:t>
      </w:r>
    </w:p>
    <w:p>
      <w:r>
        <w:t>GE Cour de justice, 2017-11-02, FR</w:t>
      </w:r>
    </w:p>
    <w:p>
      <w:r>
        <w:rPr>
          <w:b/>
        </w:rPr>
        <w:t xml:space="preserve">Quelle: </w:t>
      </w:r>
      <w:r>
        <w:t>https://mcp.opencaselaw.ch/entscheid/ge_gerichte_P_1608_2016</w:t>
      </w:r>
    </w:p>
    <w:p>
      <w:r>
        <w:t>FR: GE_GERICHTE P/1608/2016 du 2 novembre 2017</w:t>
      </w:r>
    </w:p>
    <w:p>
      <w:r>
        <w:t>IT: GE_GERICHTE P/1608/2016 del 2 novembre 2017</w:t>
      </w:r>
    </w:p>
    <w:p>
      <w:pPr>
        <w:pStyle w:val="Heading2"/>
      </w:pPr>
      <w:r>
        <w:t>Regeste</w:t>
      </w:r>
    </w:p>
    <w:p>
      <w:r>
        <w:t>PARTIE CIVILE ; CONSTATATION DES FAITS ; IN DUBIO PRO REO ; LÉSION CORPORELLE SIMPLE ; VOIES DE FAIT ; INFRACTIONS CONTRE LA VIE ET L'INTÉGRITÉ CORPORELLE ; INTENTION ; FIXATION DE LA PEINE ; PEINE PÉCUNIAIRE ; TORT MORAL | CPP.398; CPC.320; CP.123; CP.126; CP.12; CP.47; CP.34; CPP.122; CO.47; CO.49</w:t>
      </w:r>
    </w:p>
    <w:p>
      <w:pPr>
        <w:pStyle w:val="Heading2"/>
      </w:pPr>
      <w:r>
        <w:t>Erwägungen</w:t>
      </w:r>
    </w:p>
    <w:p>
      <w:r>
        <w:rPr>
          <w:b/>
        </w:rPr>
        <w:t>E. 1.1</w:t>
      </w:r>
    </w:p>
    <w:p>
      <w:r>
        <w:t>L'appel formé par A______ est recevable pour avoir été interjeté et motivé selon la forme et dans les délais prescrits (art. 398 et 399 CPP). 1.2.1. A teneur de l'art. 398 al. 5 CPP, si un appel ne porte que sur les conclusions civiles, la juridiction d'appel n'examine le jugement de première instance que dans la mesure où le droit de procédure civile applicable au for autoriserait l'appel. L'appel est ouvert et la juridiction a un libre pouvoir d'examen, si la valeur litigieuse résultant des conclusions de l’appelant excède la somme de CHF 10'000.- (art. 308 al. 2 et 91 al. 1 du code de procédure civile suisse du 19 décembre 2008 [CPC ; RS 272]). Lorsque la valeur litigieuse est inférieure, l'appel reste ouvert mais le pouvoir du juge est limité à la constatation manifestement inexacte des faits et à la violation du droit, conformément à l'art. 320 CPC. 1.2.2. L'appel formé par B______ est ainsi recevable, le pouvoir d'examen de la CPAR étant toutefois limité dans la mesure de ce qui précède, les conclusions prises en tort moral de CHF 2'000.- étant inférieures à CHF 10'000.-.</w:t>
      </w:r>
    </w:p>
    <w:p>
      <w:r>
        <w:rPr>
          <w:b/>
        </w:rPr>
        <w:t>E. 1.3</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prétentions civiles ou certaines d’entre elles (let. d) ; les frais, les indemnités et la réparation du tort moral (let. f).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2.1.3.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 2.1.4. Les constellations des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 conduire à un acquittement. L’appréciation définitive des déclarations des participants incombe au juge du fond (ATF 137 IV 122 consid. 3.3 = JdT 2012 IV p. 79 ; M. NIGGLI / M. HEER / H. WIPRÄCHTIGER [éds], Strafprozessordnung / Jugendstrafprozessordnung, Basler Kommentar StPO/JStPO , 2 ème éd., Bâle 2014, n. 83 ad art. 11). 2.1.5. Selon l'art. 123 ch. 1 CP, celui qui, intentionnellement, aura fait subir à une personne une autre atteinte à l'intégrité corporelle ou à la santé que grave sera, sur plainte, puni d'une peine privative de liberté de trois ans au plus ou d'une peine pécuniaire. Dans le cas de peu de gravité, le juge pourra atténuer la peine (art. 48 a). La poursuite aura lieu d'office si l'auteur est le conjoint de la victime et que l'atteinte a été commise durant le mariage ou l'année qui a suivi le divorce (art. 123 ch. 2 CP). Le chiffre 2 de l’article 123 CP décrit différents cas aggravés de lésions corporelles simples dont les particularités se situent au niveau de la mise en œuvre qui intervient d’office et non sur plainte, notamment si l'auteur est le conjoint de la victime et que l'atteinte a été commise durant le mariage ou dans l'année qui a suivi le divorce (al. 3). Dans ce cas, les lésions corporelles simples aggravées ne se caractérisent donc pas par l’étendue du dommage provoqué, mais par l’état personnel de la victime en raison de sa dépendance émotionnelle avec l’auteur (J. HURTADO POZO, Droit pénal : partie spéciale , nouvelle édition, Genève/Zurich/Bâle 2009, n. 500 ad art. 123 p. 150). Le but de cette norme est de tenir compte à la fois de l'ampleur du phénomène des violences domestiques, mais aussi des difficultés que rencontrent souvent les victimes à porter plainte, et de renforcer leur protection en instaurant une poursuite d'office des infractions commises dans un tel contexte (M. DUPUIS / L. MOREILLON / C. PIGUET / S. BERGER / M. MAZOU / V. RODIGARI, Petit commentaire, Code pénal , 2 e éd., Bâle 2017, n. 22 ad art. 123). Etant donné qu’il s’agit d’une mise en danger abstraite, indépendamment de la gravité de la survenance du résultat, l’art. 123 ch. 1 al. 2 CP, qui permet une atténuation libre de la peine ( cf. art. 48a CP) dans les cas de peu de gravité, ne trouve pas application (M. NIGGLI / H. WIPRÄCHTIGER, Basler Kommentar Strafrecht II : Art. 111-392 StGB , 2 e édition, Bâle 2007, n. 12 ad art. 123 ; B. CORBOZ, Les infractions en droit suisse, Volume I , 3 e éd., Berne, n. 20 et 34 ad art. 123). L'art. 123 CP protège l'intégrité corporelle et la santé tant physique que psychique. Les lésions corporelles sont une infraction de résultat qui implique une atteinte importante aux biens juridiques ainsi protégés (ATF 135 IV 152 consid 2.1.1 ; 134 IV 189 consid. 1.1).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107 IV 40 consid. 5c ; 103 IV 65 consid. 2c). Un coup de poing dans la figure ayant provoqué un hématome sous-orbitaire doit être sanctionné en application de l'art. 123 CP, parce qu'un hématome, qui laisse normalement des traces pendant plusieurs jours, est la conséquence de la rupture d'un vaisseau sanguin, dommage qui est une lésion du corps humain, même si celle-ci est superficielle et de peu d'importance (ATF 119 IV 25 consid. 2a). 2.1.6. L'art. 126 al. 1 CP prévoit que celui qui se sera livré sur une personne à des voies de fait qui n'auront causé ni lésion corporelle ni atteinte à la santé sera, sur plainte, puni d'une amende.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2.1.7. La distinction entre lésions corporelles et voies de fait peut s'avérer délicate, notamment lorsque l'atteinte s'est limitée à des contusions, des meurtrissures, des écorchures ou des griffures.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que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p. 191 s. ; 119 IV 25 consid. 2a p. 26/27).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précité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119 IV 25 consid. 2a p. 27 et les arrêts cités). 2.1.8. Les art. 123 et 126 CP décrivent des infractions de nature intentionnelle. Le dol éventuel suffit (ATF 119 IV 1 consid. 5a). Selon l'art. 12 al. 2 CP, agit intentionnellement quiconque commet un crime ou un délit avec conscience et volonté. L'auteur agit déjà intentionnellement lorsqu'il tient pour possible la réalisation de l'infraction et l'accepte au cas où celle-ci se produirait.</w:t>
      </w:r>
    </w:p>
    <w:p>
      <w:r>
        <w:rPr>
          <w:b/>
        </w:rPr>
        <w:t>E. 2.2</w:t>
      </w:r>
    </w:p>
    <w:p>
      <w:r>
        <w:t>En l'espèce, les parties se contredisent sur les circonstances des faits reprochés à l'appelant. Quant à leur résultat, à savoir les éléments mis en exergue par le constat médical, certaines de leurs déclarations, corroborées par des preuves objectives, se recoupent partiellement. Il en va ainsi des conséquences du coup porté au visage de l'appelante, quelle que soit son origine, dont il y a lieu de tenir pour établi que son époux lui a causé un hématome à l'œil droit, attesté tant par ledit constat que par l'appelant, lequel a confirmé que son geste avait engendré ledit hématome, qu'il avait d'ailleurs remarqué quelques jours après leur dispute et pour lequel il lui avait présenté ses excuses. Quant aux douleurs para-cervicales bilatérales, également constatées par certificat médical, elles sont compatibles avec le récit des deux parties, dès lors que la plaignante indique être tombée après avoir été frappée, chute qui n'a finalement été admise par l'appelant que devant le premier juge. Quand bien même le prévenu se montre incapable de fournir une explication sur l'origine de ces douleurs cervicales, celles-ci ne peuvent s'expliquer qu'en rapport aux faits litigieux. Tel n'est pas le cas de l'hypertrophie de l'épineuse C2, révélée par les radiographies, puisqu'elle peut trouver son origine dans de multiples causes, autres que le coup porté. Au vu de la jurisprudence claire à ce propos, il ne fait aucun doute que cette atteinte constitue une lésion corporelle simple au sens de l'art. 123 CP. Objectivement, elle a laissé une trace visible, dont on fait état les médecins. Subjectivement, les troubles décrits par la plaignante, soit des nausées, des douleurs cervicales, des paresthésies au niveau de l'occiput ou encore une sensation de "tête vide", mais également le récit de son époux, qui l'a vue chuter et se tenir le visage au sol, ainsi que l'incapacité de travail d'un jour qui a été délivrée à l'appelante, attestent de douleurs d'une intensité certaine, qui ne sauraient être compatibles avec de simples voies de fait. Ces lésions corporelles sont aggravées au sens de l'art. 123 ch. 2 al. 3 CP, compte tenu du statut marital des parties au moment des faits, ce qui exclut l'application de l'art. 123 ch. 1 al. 2 CP. S'agissant de la nature du coup, la partie plaignante a été constante sur le fait qu'il s'agissait d'un coup de poing donné de face, lequel ne peut être qu'intentionnel. Quant au contexte, le récit de la plaignante est resté globalement constant et crédible. Elle a en effet déclaré qu'à la suite d'une dispute, provoquée par la découverte de l'infidélité supposée de son époux, ce dernier lui avait donné ce coup de poing sur l'œil droit et des coups de pieds dans le ventre. S'il y a eu des contradictions dans son récit, celles-ci n'ont porté que sur la date de l'évènement, ce qui n'est pas décisif en soi, la partie plaignante indiquant qu'il lui " semblait " que l'anniversaire de sa fille était intervenu le 17 février 2014. S'il n'y a pas de certitude, que les faits se soient déroulés le 16, 17, 18 ou le 19 février 2014 est d'une importance relative dans la mesure où la survenance de l'évènement ayant engendré un hématome n'est pas contesté par le prévenu. L'omission de la mention de coups de pieds aux médecins est compatible avec les faits, dès lors que la partie plaignante a mentionné que c'était l'état de son œil qui l'inquiétait et avait motivé sa consultation. Quelque soient les motifs, le délai de deux ans qu'il a fallu à l'appelante pour porter plainte contre son époux ne saurait constituer un élément permettant de mettre en doute sa crédibilité. A l'inverse, les déclarations du prévenu ont été considérablement contradictoires sur les circonstances mêmes du coup porté. Il a, dans un premier temps, contesté, à la police, l'intégralité des accusations portées contre lui, rien ne s'étant passé. Au fil des deux auditions subséquentes, il a admis qu'un certain nombre de faits décrits par l'appelante s'étaient effectivement passés. Il y avait bien eu une dispute liée à des suspicions de rapports extraconjugaux, ce qu'il a ensuite modifié pour faire état d'un différend en rapport avec l'inactivité professionnelle de son épouse. Même après avoir reconnu avoir donné un coup, il a varié dans ses déclarations sur des points importants. Devant le Ministère public, il a expliqué avoir involontairement porté un coup de coude à son épouse du fait qu'elle l'avait saisi par le col, en se retournant. En audience de jugement, il a expliqué que son coude droit était parti en arrière, alors qu'il tentait de se dégager de l'emprise de cette dernière, qui se trouvait sur sa gauche et parce qu'elle le tirait par derrière par le poignet gauche. Cette dernière version n'apparaît guère compatible avec un mouvement pour se dégager, on penserait plutôt à un mouvement du bras gauche. En outre, ce n'est que devant le tribunal de première instance que le prévenu a reconnu que son épouse avait chuté, ce qu'elle a toujours allégué. Ainsi, il apparaît que l'appelant a fourni dans les grandes lignes et par versions successives un état de fait correspondant à celui de la partie plaignante, mais dont a été retranché tout ce qui pouvait l'incriminer, plus particulièrement la cause de la dispute et un geste de violence intentionnel, ceci au profit d'un coup involontaire. Le fait que la plainte ait été déposée bien après les faits n'enlève rien à leur survenance, telle qu'attestée par le constat médical, le prévenu ayant lui-même déclaré que la partie plaignante avait bien fait état à ses parents d'un coup de poing reçu de sa part, ce qui avait incité ces derniers à ne plus le voir. L'on ne comprend pas non plus pourquoi, sauf à vouloir le dissimuler, le prévenu n'a pas fait part à la police déjà de sa version des faits d'un coup involontaire après avoir été retenu. Au vu de leur absence de crédibilité, les déclarations de l’appelant, lesquelles ont été pour le moins fluctuantes, seront écartées. Les éléments au dossier constituent un faisceau d’indices suffisamment fort pour qu’il soit retenu que les faits dénoncés par la victime de façon constante et repris dans l’acte d’accusation ont bien eu lieu. Ainsi, la CPAR retient que l'appelant a, dans un contexte conflictuel et de reproches, porté un coup de poing dans l'œil droit de son épouse, ce qui a provoqué des lésions corporelles simples, comme examiné supra , qu'elle a ensuite été projetée contre un mur et qu'il lui a donné des coups de pied au ventre, provoquant les lésions et douleurs décrites dans le constat médical du 19 février 2014. L’appel du prévenu doit partant être rejeté et le verdict de culpabilité confirmé, sous réserve d'une substitution de motifs.</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3.1.2. 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(deuxième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Le montant du jour-amende doit être fixé en partant du revenu que l'auteur réalise en moyenne quotidiennement, quelle qu'en soit la source, car c'est la capacité économique réelle de fournir une prestation qui est déterminante.</w:t>
      </w:r>
    </w:p>
    <w:p>
      <w:r>
        <w:rPr>
          <w:b/>
        </w:rPr>
        <w:t>E. 3.2</w:t>
      </w:r>
    </w:p>
    <w:p>
      <w:r>
        <w:t>En l'espèce, la faute de l'appelant est significative, puisqu'il a porté atteinte à l'intégrité corporelle de la plaignante, à savoir la femme avec laquelle il partageait sa vie. Aucune circonstance atténuante, au sens de l'art. 48 CP, n'est réalisée, ni au demeurant plaidée. Il n'a pas d'antécédent, ce qui a un effet neutre sur la peine (ATF 136 IV 1 consid. 2.6). La collaboration de l'appelant a été mauvaise et il ne paraît pas avoir pris conscience de sa faute, puisqu'il continue de nier l'infraction commise, ou du moins, le fait qu'il ait agi intentionnellement. L'appelant, qui a conclu à son acquittement du chef de lésions corporelles simples, n'a critiqué ni la nature ni la quotité de la peine qui lui a été infligée, ne serait-ce qu'à titre subsidiaire. Compte tenu de sa faute, qui n'est pas négligeable, et de sa situation financière, il y a lieu de confirmer la peine-pécuniaire de 30 jours-amende à CHF 10.- l'unité. Le sursis, dont les conditions sont remplies, lui est acquis (art. 391 al. 2 CPP), ainsi que le délai d'épreuve, fixé au minimum légal de deux ans, au vu du temps écoulé. Le jugement entrepris sera donc intégralement confirmé et l'appel de A______ rejeté.</w:t>
      </w:r>
    </w:p>
    <w:p>
      <w:r>
        <w:rPr>
          <w:b/>
        </w:rPr>
        <w:t>E. 4</w:t>
      </w:r>
    </w:p>
    <w:p>
      <w:r>
        <w:t>4.1.1.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4.1.2 . Selon l’art. 41 al. 1 de la loi fédérale du 30 mars 1911, complétant le code civil suisse (CO, Code des obligations ; RS 220),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4.1 p. 130). 4.1.3.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citées). A titre d'exemple, une longue période de souffrance et d'incapacité de travail, de même que les préjudices psychiques importants sont des éléments déterminants (arrêt du Tribunal fédéral 4A_373/2007 du 8 janvier 2008 consid. 3.2 non publié in ATF 134 III 97 ; 132 II 117 consid. 2.2.2 p. 119 ; arrêt du Tribunal fédéral 6B_1066/2014 du 27 février 2014 consid. 6.1.2). L’atteinte objectivement grave doit être ressentie par la victime comme une souffrance morale ; à défaut, aucune indemnisation ne peut lui être accordée. Comme chaque être humain ne réagit pas de la même manière à une atteinte portée à son intégrité physique et/ou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p. 74-75 ; 120 II 97 consid. 2b p. 98 ss).</w:t>
      </w:r>
    </w:p>
    <w:p>
      <w:r>
        <w:rPr>
          <w:b/>
        </w:rPr>
        <w:t>E. 4.2</w:t>
      </w:r>
    </w:p>
    <w:p>
      <w:r>
        <w:t>En l'espèce, la CPAR ne remet pas en cause les coups subis par la plaignante, de même que les douleurs ressenties et son état de choc, liés à ce type d'évènement. Hormis les documents médicaux établis le 19 février 2014, qui attestent de lésions et d'un arrêt de travail d'un jour, mais qui peuvent être relativisés, vu le peu d'intensité des douleurs éprouvées et la brièveté de l'arrêt, ce qui va dans le sens de troubles temporaires, l'appelante n'a apporté aucune preuve du tort moral subi dont elle se réclame. Elle n'indique en aucune manière avoir rencontré quelques difficultés d'ordre psychique à la suite de l'agression ni avoir fait face à des souffrances durables et répétées. Le degré de gravité suffisante dûment documenté décrit par la jurisprudence n'est manifestement pas atteint, de sorte qu'une indemnisation pour tort moral n'est pas justifiée. La CPAR retient, partant, qu'il n'y a pas lieu d'allouer une indemnité pour tort moral. Le jugement entrepris sera confirmé sur ce point et l'appel de B______ rejeté.</w:t>
      </w:r>
    </w:p>
    <w:p>
      <w:r>
        <w:rPr>
          <w:b/>
        </w:rPr>
        <w:t>E. 5</w:t>
      </w:r>
    </w:p>
    <w:p>
      <w:r>
        <w:t>Les appelants, qui succombent, supporteront les frais de la procédure d'appel envers l'Etat (art. 428 al. 1 CPP), à raison de deux tiers à charge de A______ et d'un tiers à la charge de B______.</w:t>
      </w:r>
    </w:p>
    <w:p>
      <w:r>
        <w:rPr>
          <w:b/>
        </w:rPr>
        <w:t>E. 6</w:t>
      </w:r>
    </w:p>
    <w:p>
      <w:r>
        <w:t>Vue l'issue de la procédure d'appel, A______ sera débouté de ses prétentions en indemnisation (art. 429 al. 1 let. a CPP a contrario ).</w:t>
      </w:r>
    </w:p>
    <w:p>
      <w:r>
        <w:rPr>
          <w:b/>
        </w:rPr>
        <w:t>E. 7</w:t>
      </w:r>
    </w:p>
    <w:p>
      <w:r>
        <w:t>Il en va de même de la demande d'indemnisation de la partie plaignante pour les dépenses obligatoires occasionnées par la procédure d'appel, qui sera rejetée (art. 433 al. 1 let. a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