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P/16089/2014 vom 26. April 2022</w:t>
      </w:r>
    </w:p>
    <w:p>
      <w:r>
        <w:t>GE Cour de justice, 2022-04-26, FR</w:t>
      </w:r>
    </w:p>
    <w:p>
      <w:r>
        <w:rPr>
          <w:b/>
        </w:rPr>
        <w:t xml:space="preserve">Quelle: </w:t>
      </w:r>
      <w:r>
        <w:t>https://mcp.opencaselaw.ch/entscheid/ge_gerichte_P_16089_2014</w:t>
      </w:r>
    </w:p>
    <w:p>
      <w:r>
        <w:t>FR: GE_GERICHTE P/16089/2014 du 26 avril 2022</w:t>
      </w:r>
    </w:p>
    <w:p>
      <w:r>
        <w:t>IT: GE_GERICHTE P/16089/2014 del 26 aprile 2022</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407 al. 1 CPP prescrit que l'appel est réputé retiré si la partie qui l'a déclaré fait défaut aux débats d'appel sans excuse valable et ne se fait pas représenter (let. a). Les normes relatives à la procédure d'appel ne définissent pas ce qu'il faut entendre par une « excuse valable ». Conformément à l'art. 94 al. 1 CPP, applicable par analogie aux termes,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 que cette norme permet à l'opposant défaillant de demander la restitution du terme de comparution (arrêt du Tribunal fédéral 6B_360/2013 du 3 octobre 2013 consid. 3.3). Il en va de même pour l'appelant qui annonce son absence et demande le renvoi avant les débats (arrêt du Tribunal fédéral 6B_894/2014 du 25 mars 2015 consid. 1.3).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(arrêt du Tribunal fédéral 6B_894/2014 du 25 mars 2015 consid. 1.3 et 6B_37/2012 du 1 er novembre 2012 consid. 3). 2.1.2. Selon la jurisprudence de la Cour européenne des droits de l'homme (citée in arrêt du Tribunal fédéral 6B_860/2013 du 7 mars 2014 consid. 4.1.2, rendu en application de l'art. 368 al. 3 CPP), l'art. 6 de la Convention européenne des droits de l'homme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 er mars 2006, Recueil CourEDH 2006-II p. 201 § 81 ss et les arrêts cités). Ce principe supporte cependant quelques atténuations. D'abord, la Cour européenne reconnaît que, devant les juridictions supérieures, la comparution de l'accusé ne revêt pas nécessairement la même importance qu'en première instance ( cf . arrêt de la CourEDH Kamasinski c.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 92 et les arrêts cités, en particulier arrêt de la CourEDH Poitrimol c. France du 23 novembre 1993, série A vol. 277 A § 35). Dès lors, la Cour européenne des droits de l'homme admet qu'une personne condamnée par défaut se voie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 et, troisièmement, il est démontré qu'elle avait renoncé de manière non équivoque à comparaître ou qu'elle avait cherché à se soustraire à la justice ( cf . arrêts de la CourEDH Medenica c. Suisse du 14 juin 2001, Recueil CourEDH 2001-VI § 55 ss et Sejdovic , § 105 ss, a contrario ).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 88 et les arrêts cités ; cf . aussi arrêts du Tribunal fédéral 6B_268/2011 du 19 juillet 2011 consid. 1.1 et 6B_860/2008 du 10 juillet 2009 consid. 4.1). 2.2.1. Valablement cité à comparaître devant la juridiction d'appel par mandat de comparution qu'il a bien reçu, le prévenu ne s'est pas présenté, se prévalant d'un certificat médical qui n'atteste pas d'une incapacité à comparaître aux débats, uniquement d'une incapacité de travail. Une incapacité de comparaître paraît d'autant moins vraisemblable que dans son courriel à son conseil, le prévenu parle d'une grippe, ce qui contredit l'évocation dans la plaidoirie, du bout des lèvres, d'un possible Covid. Du reste, le médecin n'aurait pas manqué d'effectuer ou faire effectuer un test, en cas de suspicion. Aussi le prévenu n'a pas établi une impossibilité objective ou subjective de déférer au mandat de comparution, une simple grippe n'étant pas suffisamment débilitante. L'évocation du droit de comparaître en personne tombe à faux, l'appelant y ayant renoncé de lui-même faute de s'être présenté alors qu'il n'en était pas dans l'incapacité. L'ancienneté de l'expertise n'est pas davantage pertinente dès lors que la Cour serait bien en peine de la compléter elle-même, sur la base de la seule comparution. Par ailleurs, son conseil a été autorisé à le représenter, de sorte que le droit à l'assistance d'un avocat est respecté. Pour ces motifs, la première question préjudicielle a été rejetée. 2.2.2. Il sera observé, par surabondance, que la plaidoirie de la défense sur le fond est venue conforter a posteriori le bien-fondé de ladite décision, la défense, qui ne conteste, s'agissant des faits du 5 août 2014, guère plus que la qualification juridique, faisant siennes les conclusions de l'expertise comme ses développements, et soulignant que la situation n'a pas évolué. 2.3.1.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2.3.2.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de la constitution fédérale suisse [Cst.].), cette exigence est également garantie par l'art. 32 al. 2 de la Constitution fédérale (Cst.. Ce droit est absolu lorsque la déposition du témoin en cause est d'une importance décisive, notamment lorsqu'il est le seul témoin, ou que sa déposition est une preuve essentielle (ATF 131 I 476 consid. 2.2 p. 480 ; ATF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p. 49 ; arrêt du Tribunal fédéral 6B_956/2016 du 19 juillet 2017 consid. 2.3.1 et les références). La question de savoir s'il est possible d'utiliser les déclarations faites en l'absence du prévenu, en cas de déclarations contradictoires ou de trous de mémoires ultérieurs d'un témoin, ne concerne pas l'exploitabilité, mais l'appréciation des preuves (arrêts du Tribunal fédéral 6B_369/2013 du 31 octobre 2013 consid. 2.3.3 ; AARP/187/2017 du 18 mai 2017 consid. 2.4.). 2.4.1. Le témoin H______ a été entendu contradictoirement par le MP dans la présente cause, et a, à cette occasion, confirmé sa première déclaration devant la police puis réitéré son récit des faits. La question d'une éventuelle contradiction entre ses propos livrés en présence de la défense notamment, et sa dernière déclaration à la police, consécutive à sa plainte contre la partie plaignante D______, n'enlève ainsi rien à l'exploitabilité desdits propos. Une réaudition contradictoire par la juridiction d'appel, aux fins de l'appréciation de la preuve que constituent les déclarations faites dans la présente procédure n'est pas nécessaire, dès lors que le récit du témoin n'est qu'un élément du dossier, parmi d'autres, globalement univoques sous réserve des déclarations du prévenu. La mesure probatoire requise paraît d'autant plus inutile que les précisions que le témoin a voulu apporter dans un second temps portent uniquement sur l'origine du conflit, soit un élément, du reste non essentiel, sur lequel tous les protagonistes s'entendent. Peu importe à cet égard que l'appelant eût souhaité savoir quels étaient les ordres inacceptables que le témoin aurait reçus de D______ dès lors qu'il ne dit pas soupçonner qu'il s'agissait d'ordres de s'en prendre à lui. La juridiction d'appel a ainsi estimé être en mesure d'apprécier les faits reprochés sur la base de l'ensemble des pièces du dossier. Pour ces motifs, la seconde question préjudicielle a également été rejetée. 2.4.2. Ici encore, il est relevé que la plaidoirie sur le fond de la défense est venue conforter la décision prise à titre préjudiciel, le prévenu ne plaidant ni la rixe ni la légitime défense (putative) mais bien uniquement qu'il était la proie de la conviction délirante qu'il était menacé, ce qui revient à reconnaître qu'il n'y avait pas de menace objective. Les précisions que le témoin H______ aurait, supposément, pu apporter sur l'élément déclencheur, auraient donc bien été sans pertinence. 3.1.1. Le principe in dubio pro reo ,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3.2. Selon l'art. 12 al. 2 CP, agit intentionnellement quiconque commet un crime ou un délit avec conscience et volonté. L'auteur agit intentionnellement lorsqu'il agit avec dessein (dol direct) mais aussi lorsqu'il ne veut pas le résultat dommageable pour lui-même, envisage le résultat de son acte comme possible et l'accepte au cas où il se produirait (dol éventuel  ;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Déterminer l'intention de l'auteur relève de l'établissement des faits. 3.3. A l'heure de procéder à l'établissement des faits, il peut être retenu, sur la base de l'ensemble des éléments du dossier, ce qui suit : 3.4.1. Les déclarations de la partie plaignante D______ comme celles du prévenu et d'autres témoins confirment que les deux premiers étaient, au printemps-été 2014, opposés par un litige d'ordre civil, le second s'estimant injustement traité par le premier dans le contexte de leur collaboration au sein de l'arcade en définitive revendue à un tiers, alors que le prévenu caressait l'espoir de s'en porter repreneur et qu'il se considérait en tout état créancier. 3.4.2. Le message « je vais te régler ton compte » reçu par la partie plaignante D______ sur son compte Facebook lui a bien été envoyé par le prévenu. Celui-ci a en effet admis s'être adressé à son antagoniste par cette voie, au sujet de l'épouse de ce dernier, ce qui enlève toute crédibilité à ses déclarations ultérieures selon lesquelles il n'utilisait pas ce réseau, sans préjudice de ce que, globalement, ses dires doivent être appréciés avec circonspection, tant ils ont varié au cours de la procédure. Les messages figurant dans la procédure, qu’ils aient été envoyés par le prévenu par SMS, ce qu'il admet, ou par le biais de Facebook , ont le même contenu et reprennent les mêmes termes (« macro », « pute », « j’ai niqué ta femme »), de sorte qu’il est pour le moins improbable qu’ils émanaient de deux auteurs distincts. Enfin, l'envoi d'un message au contenu menaçant est hautement vraisemblable eu égard au litige précité et la santé mentale du prévenu. 3.4.3. Il est également retenu que lors de leur entretien téléphonique du 4 août 2014 le prévenu a tenu à l'égard de la partie plaignante F______ les propos « je te forcerai à venir », « je vais te tuer », « je ne vais pas te laisser travailler à Genève », « où es-tu, viens me voir si tu es un homme » et « je vais te donner dix coups de couteau » . Comme souligné par les premières juges, les menaces dénoncées s’inscrivent dans le même contexte conflictuel opposant la partie plaignante D______ à l'appelant A______, ce dernier cherchant à obtenir le soutien de la partie plaignante F______, qui le lui a refusé. Celle-ci a aussitôt déposé plainte pénale, s'est le jour-même confiée au témoin H______, puis a été constante tout au long de la procédure. Il est de surcroît hautement vraisemblable que, convaincu que la partie plaignante avait commandité son homicide, le prévenu se soit exprimé en des termes offensifs lors dudit entretien. 3.5.1. L'altercation du 5 août 2014 s'inscrit dans le contexte précité d'un conflit d'ordre financier que le prévenu appréhendait sous le prisme des troubles mixte grave de la personnalité et dépressif récurrent avec épisode sévère et symptômes psychotiques dont il était affecté. Ce conflit, attisé par les messages peu amènes ou menaçants de l'appelant A______, son entretien téléphonique avec la partie plaignante F______, puis le dépôt de plaintes à son encontre, dont il avait été informé, avait atteint son apogée. Le prévenu s'est alors à son tour rendu au poste de police [du quartier] des C______, le matin des faits. Préalablement, il s'était garé à en face de l'arcade de la partie plaignante D______, peu distante du poste. Le prévenu est ensuite resté dans le quartier, prenant un café, avant de retourner à sa voiture. Il a quitté sa place puis a fait marche arrière et s'y est stationné derechef. 3.5.2. Il s'est tenu 18 secondes à hauteur de la portière conducteur, temps qu'il a pu employer à se munir du cutter évoqué dans la procédure, notamment, en appel, par son conseil. Il est en tout cas plausible qu'il détenait un tel objet tranchant, sur lui ou dans la voiture, telle étant son habitude au moins depuis janvier 2014 ( cf. supra j.c.). Après l'avoir nié, le prévenu a fini par admettre qu'il avait bien été à l'origine du contact avec la partie plaignante F______, qu'il avait hélée depuis l'extérieur du magasin. Cette version s'impose, car elle est non seulement conforme aux dire des autres personnes présentes, mais également confirmée par les images de vidéo-surveillance. Les deux hommes ont cheminé ensemble, traversant la rue. Le prévenu a mis sa main sur l'épaule de l'intimé F______, geste auquel tous deux attribuent une connotation pacifique. Elles ont ensuite échangé quelques mots, devant le véhicule. Si les images ne permettent pas d'identifier la présence d'une arme dans la main du prévenu, elles confirment néanmoins les déclarations de la partie plaignante selon lesquelles il est soudainement devenu agressif, la poussant contre la voiture et levant un bras. En prolongement, il n'y a aucune raison de ne pas suivre la victime lorsqu'elle affirme que l'appelant lui a déclaré qu'il allait l'égorger et a tenté de l'atteindre à la gorge, au moyen d'un cutter . Ce propos fait d'ailleurs écho aux menaces, formulées par téléphone, de la tuer de dix coup de couteau. Inversement, la position, apparemment abandonnée en appel, consistant à affirmer que ce serait la partie plaignante qui aurait sorti une arme pour s'en prendre au prévenu et que ce dernier serait parvenu à s'en emparer pour se défendre, n'est pas soutenue par les images et est invraisemblable – pourquoi la partie plaignante aurait-elle agi de la sorte, qui plus est de jour, en pleine rue, alors qu'elle n'avait pas d'autre motif d'en vouloir à l'appelant que le contenu de la conversation téléphonique, auquel elle avait réagi de façon appropriée, en déposant plainte pénale ? –. Au mieux, faut-il retenir que cette version est dictée à l'appelant par son état mental, au pire par des considérations stratégiques. L'intimé F______ est parvenu à éviter le coup qui le visait à la gorge, mais en a reçu d'autres, au niveau de la tête, puis est tombé, le prévenu continuant alors de s'acharner sur lui, au niveau des jambes, tout en lui disant que ce n'était pas fini et qu'il allait continuer. Il n'a cessé que lorsqu'il a vu la partie plaignante D______ accourir, s'en prenant alors à elle. Il lui a également assené plusieurs coups, visant dans son cas notamment la région génitale, ainsi que la victime l'a déclaré, ce qui est corroboré par les lésions qu'elle a présentées au bas-ventre. Il n'est pas sans intérêt à cet égard qu'il puisse être déduit des messages du prévenu évoquant l'épouse de son ancien ami qu'il cherchait tout particulièrement à l'atteindre dans son honneur de mari, c'est-à-dire, selon une certaine conception, dans sa virilité. Pour autant, il n'y a pas de raison de ne pas croire cette partie plaignante lorsqu'elle affirme que le prévenu lui a également dit qu'il allait la tuer. D'une part, le prévenu ne le nie pas expressément, disant n'avoir aucun souvenir du déroulement de l'attaque tout en admettant qu'il s'était comporté comme un animal. D'autre part, le récit de la partie plaignante s'est pour le reste avéré véridique. On ignore pour quel motif l'appelant a fini par interrompre cette seconde attaque, étant rappelé qu'il était entouré de plusieurs personnes. Il n'est pas impossible que des sirènes aient retenti, dès lors que la partie plaignante F______ avait appelé la police, mais ce n'est pas établi. Le prévenu a alors quitté les lieux, sans précipitation, est allé acheter une bouteille d'eau, puis s'est présenté au poste de police. 3.5.3. Le prévenu était convaincu que l'intimé F______ avait " mis un contrat sur sa tête " et il avait, peu avant l'altercation, menacé de le tuer, de dix coups de couteau. Il est allé le quérir alors qu'il était muni d'un objet tranchant, dissimulé, a feint une attitude conciliante et l'a soudainement attaqué au moyen de son arme, en annonçant qu'il allait l'égorger et en visant la partie idoine du corps. A eux seuls ces éléments suffisent à établir son intention homicide. S'y ajoute le fait qu'il a continué de s'acharner, l'atteignant à la tête et au ventre. Ce n'est que lorsque la victime est tombée, ce qui lui a permis de se protéger au moyen de ses jambes, que les coups ont atteint la partie inférieure du corps. Enfin, si l'appelant a spontanément cessé son attaque, ce n'est pas parce que son but n'aurait été "que" de blesser l'intimé F______, mais pour s'en prendre à la partie plaignante D______. 3.5.4. Ce faisant, le prévenu a certes notamment visé les parties génitales de la seconde victime, visant sans doute à l'humilier. Cela ne signifie cependant pas qu'il ne cherchait pas à l'éliminer, purement simplement. Il lui a en effet affirmé qu'il allait le faire et il a également atteint à tout le moins la tête (visage et crâne) et l'abdomen, soit des parties du corps abritant, notoirement, des organes vitaux, étant relevé que la plaie sur l'abdomen, bien que superficielle, ne saurait être la conséquence accidentelle d'un coup dirigé sur une autre partie du corps, au vu de sa longueur (15 cm). Il est vrai qu'à ce moment, le prévenu s'est de lui-même interrompu, mettant ainsi fin à l'agression. On ignore pour quel motif il l'a fait mais on ne saurait, dans le cas d'espèce, y voir un indice de ce que son intention n'était pas de tuer la seconde victime. Tout au plus s'est-il ravisé. En effet, comme déjà dit, l'appelant avait bien annoncé à ses deux victimes son objectif de mettre fin à leurs jours, il reconnaît s'être comporté comme un animal et il a, dans les deux cas, visé des parties du corps particulièrement vulnérables. De plus, la seconde victime était son principal "ennemi", dont la première n'aurait été que le bras droit. Il n'y a ainsi pas de raison qu'il eut souhaité tuer celle-ci mais pas celle-là. 3.5.5. L'évocation, par la défense, de la casuistique relative à l'usage d'une lame de petite taille est ici sans pertinence. Cette jurisprudence vise en effet à permettre de choisir entre la qualification juridique de tentative de meurtre par dol éventuel, par référence à l'importance du risque de causer des lésions létales, et celle de lésions corporelles, alors qu'en l'espèce, il n'est pas question de dol éventuel : il a été retenu que l'appelant avait l'intention (dol direct) d'éliminer les parties plaignantes, non qu'il s'est accommodé d'une telle issue.</w:t>
      </w:r>
    </w:p>
    <w:p>
      <w:r>
        <w:rPr>
          <w:b/>
        </w:rPr>
        <w:t>E. 4</w:t>
      </w:r>
    </w:p>
    <w:p>
      <w:r>
        <w:t>4.1.1. Il y a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4.1.2.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millimètres). Toutefois, l'utilisation d'un couteau, muni d'une lame de 34 millimètres ne permet pas de conclure, sans autre examen, que l'auteur a accepté une blessure mortelle (arrêt du Tribunal fédéral 6B_775/2011 du 4 juin 2012 consid. 2.5 ; AARP/380/2017 du 21 novembre 2017 consid. 3.1.3). De même, le Tribunal fédéral a requalifié une tentative de meurtre en tentative de lésions corporelles graves dans le cas de trois jeunes hommes qui avaient passé à tabac, sans aucune raison, deux personnes dans un passage souterrain d'une gare, au motif que les protagonistes n'avaient aucune raison de les tuer (arrêt du Tribunal fédéral 6B_1250/2013 du 24 avril 2015 consid. 3.2). Dans le même ordre d'idées, la question de savoir si les coups ont été portés en rafale n'est nullement déterminante dans la mesure où, si tel a été le cas, leur auteur avait manifestement fait preuve d'acharnement, alors que, dans le cas inverse, il aurait été à même de mesurer l'impact de chacun de ses coups et donc de constater que la victime n'était aucunement en mesure de se défendre ou de résister ( AARP/548/2015 du 18 juin 2015 consid. 2.2.1.). 4.1.3.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 s'est décidé contre le bien juridique " (ATF 133 IV 9 consid. 4.4 = JdT 2007 I 573).</w:t>
      </w:r>
    </w:p>
    <w:p>
      <w:r>
        <w:rPr>
          <w:b/>
        </w:rPr>
        <w:t>E. 4.2</w:t>
      </w:r>
    </w:p>
    <w:p>
      <w:r>
        <w:t>Selon l'art. 180 al. 1 CP, celui qui, par une menace grave, aura alarmé ou effrayé une personne sera, sur plainte, puni d'une peine privative de liberté de trois ans au plus ou d'une peine pécuniaire.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Toute menace ne tombe pas sous le coup de l'art. 180 CP. La loi exige en effet que la menace soit grave, ce qui est le cas de menaces de lésions corporelles graves ou de mort (arrêts du Tribunal fédéral 6B_787/2018 du 1 er octobre 2018 consid. 3.1 ; 6B_1428/2016 du 3 octobre 2017 consid. 2.1 et la référence). Subjectivement, l'auteur doit avoir l'intention non seulement de proférer des menaces graves, mais aussi d'alarmer ou d'effrayer le destinataire. Le dol éventuel suffit (arrêts du Tribunal fédéral 6B_787/2018 du 1 er octobre 2018 consid. 3.1 ; 6B_1009/2014 du 2 avril 2015 consid. 3.1 ; 6B_598/2011 du 27 juillet 2012 consid. 1.1).</w:t>
      </w:r>
    </w:p>
    <w:p>
      <w:r>
        <w:rPr>
          <w:b/>
        </w:rPr>
        <w:t>E. 4.3</w:t>
      </w:r>
    </w:p>
    <w:p>
      <w:r>
        <w:t>Il a été retenu ci-dessus que le prévenu a attaqué les deux parties plaignantes au moyen d'une lame tranchante, vraisemblablement celle du cutter jaune évoqué par plusieurs protagonistes, en annonçant à l'une qu'il allait l'égorger, à l'autre qu'il allait la tuer. Ces propos avaient été précédés du message du 23 juin 2014 à la partie plaignante D______ selon lequel l'appelant allait lui " régler [son] compte " et de l'échange téléphonique du matin même lors duquel il avait dit à la partie plaignante F______ qu'il allait la tuer et lui donner " dix coups de couteau ". De surcroît, l'appelant a d'abord visé la gorge de la partie plaignante F______, sans parvenir à l'atteindre, puis le haut de son corps, tout comme il a blessé l'autre victime non seulement aux parties génitales mais aussi au niveau de la tête et de l'abdomen. Dans ces circonstances, il a été estimé qu'il avait bel et bien agi dans l'intention, au sens du dol direct, de les éliminer. Il n'est dès lors pas question de trancher entre une tentative de meurtre par dol éventuel ou des lésions corporelles graves, voire, comme plaidé, des lésions corporelles simples au moyen d'un objet dangereux, achevées. Certes, la lame d'un cutter n'étant a priori pas très large, le but poursuivi n'était pas aisé à atteindre, mais il n'était pas impossible. A raison, l'appelant ne soutient pas qu'il n'aurait pas pu blesser mortellement les victimes vu les parties du corps visées. Tel était tout particulièrement le cas de la gorge de la partie plaignante F______, le cou étant le siège de la veine carotide et des artères jugulaires, ou de l'abdomen de l'autre victime. Le verdict du chef de tentative de meurtre à l'égard de chacune des victimes est partant confirmé.</w:t>
      </w:r>
    </w:p>
    <w:p>
      <w:r>
        <w:rPr>
          <w:b/>
        </w:rPr>
        <w:t>E. 4.4</w:t>
      </w:r>
    </w:p>
    <w:p>
      <w:r>
        <w:t>Il a également été retenu ci-dessus que l'appelant a bien adressé aux victimes, avant et durant l'agression, les propos menaçants évoqués dans l'acte d'accusation. A raison il ne nie pas que de tels propos, relevant de la menace de mort, soit une menace grave, étaient propres à effrayer les parties plaignantes et les ont effectivement effrayées, étant rappelé qu'elles ont déposé plainte pour ceux proférés avant l'agression et que ceux prononcés durant l'agression ne pouvaient qu'être pris aux sérieux, le prévenu ayant joint le geste à la parole. Le verdict de culpabilité du chef de menaces est ainsi également confirmé.</w:t>
      </w:r>
    </w:p>
    <w:p>
      <w:r>
        <w:rPr>
          <w:b/>
        </w:rPr>
        <w:t>E. 5</w:t>
      </w:r>
    </w:p>
    <w:p>
      <w:r>
        <w:t>5.1. Les faits ont été commis avant l'entrée en vigueur du nouveau droit de sanctions. Seule une peine privative de liberté entrant en considération, il convient d'appliquer l'ancien droit, qui n'est pas défavorable à la défense. 5.2.1. 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p. 104 ; 116 IV 300 consid. 2c/dd p. 305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5.2.3.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(ATF 136 IV 55 consid. 5.7 p. 62 s. ; arrêt du Tribunal fédéral 6B_1177/2018 du 9 janvier 2019 consid. 2.2). En d'autres termes, la responsabilité restreinte de l'auteur conduit à une atténuation de sa culpabilité et non directement de sa peine, l'atténuation de la culpabilité pouvant, par ailleurs, être compensée par d'autres éléments comme des mauvais antécédents. Dès lors, même en cas de responsabilité restreinte au sens de l'art. 19 al. 2 CP, une peine privative de liberté à vie ne sera pas forcément exclue si la faute du condamné, une fois la responsabilité restreinte ainsi que toutes les circonstances pertinentes prises en compte, demeure si grave qu'elle justifie une telle sanction (ATF 136 IV 55 consid. 5.5 p. 59; arrêt du Tribunal 6B_352/2014 du 22 mai 2015 consid. 6.3 non publié in ATF 141 IV 273 et les références citées). 5.2.4.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une procédure (ATF 130 IV 54 consid. 3.3.3 ; ATF 130 I 312 consid. 5.2 ; arrêt du Tribunal fédéral 6B_1066/2013 du 27 février 2014 consid. 1.1.2).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(arrêt du Tribunal fédéral 6B_590/2014 du 12 mars 2015 consid. 5.3). Dans sa pratique la plus récente ( AARP/276/2019 , AARP/198/2017 , AARP/67/2018 et AARP/204/2019 ), la CPAR a opté pour une indemnisation sous forme de déduction à opérer sur la peine qu'elle avait préalablement fixée et non sous celle d'une véritable réduction de la peine. Le tort subi par un prévenu du fait de la violation du principe de célérité ne relève en effet pas des critères de fixation de la peine à proprement parler. S'il est indiscutable qu'un tel tort doit être réparé, et si une compensation avec la peine, lorsqu'il y en a une, d'une durée suffisante, est une modalité adéquate de réparation, il ne se justifie en revanche pas que le prévenu soit condamné à une peine inférieure à celle qu'il mérite au regard des seuls critères de fixation de la peine, par le jeu de considérations totalement étrangères à l'art. 47 CP, tenant à des manquements de l'autorité. Ce raisonnement, que la CPAR a adopté s'agissant de compenser le tort causé par les conditions de détention, s'appliquent également en cas de violation du principe de célérité. 5.3.1. Appréciée indépendamment de l'état mental de l'appelant lors des faits, sa faute est incontestablement très grave, celui-ci ayant tenté de porter atteinte, à deux reprises, au bien juridique le plus important de l'ordre juridique, tout en visant également le bien-être psychologique de ses victimes, par ses menaces. Son intention à l'encontre de la partie plaignante D______ a pris naissance au plus tard plus d'un mois avant l'agression, avec le message du 23 juin 2014. Elle était plus récente à l'égard de la seconde victime mais l'appelant a agi sournoisement à son encontre, allant la quérir et feignant une volonté d'apaisement avant de l'attaquer par surprise. Il a de plus fait preuve d'acharnement à l'égard des deux parties plaignantes, avant de s'interrompre subitement, sans que l'on puisse identifier pour quel motif, s'agissant de la seconde. Jusqu'à ce moment, il a donc agi avec détermination. Les conséquences ont été lourdes pour les deux victimes, marquées durablement et visiblement dans leur chair, mais aussi dans leur bien-être psychique. Se sachant l'objet de l'attention d'un homme présentant, notamment, des traits paranoïaques, elles sont toujours dans la peur et ont été contraintes de modifier drastiquement leur mode de vie. Le mobile est difficile à qualifier, tant il paraît lié à la perception paranoïaque de l'appelant. Certes, sa frustration et sa colère trouvent leur source dans un litige d'ordre purement civil, ce qui conduirait à évoquer une motivation égoïste, mais ce qualificatif est peu adéquat dans les circonstances d'espèce. A tout le moins, le mobile n'avait rien d'altruiste ou d'idéal. La collaboration de l'appelant ne peut être qualifiée de mauvaise. Il s'est présenté spontanément à la police après les faits et a participé à la procédure dans la mesure requise, sous réserve de son absence aux débats d'appel, le motif invoqué n'étant pas suffisant. Certes, ce fut avec des propos confus, parfois incohérents ou contradictoires, mais il faut, pour l'essentiel, mettre cette attitude en relation avec son état de santé mental. Tout au plus peut-on émettre une réserve sur le déni des menaces via Facebook , le prévenu n'étant pas totalement déconnecté de la réalité et partant sans doute conscient de ce qu'il utilisait ce réseau pour communiquer avec la partie plaignante D______. A raison, la défense souligne que l'absence de prise de conscience, dont elle admet qu'elle est toujours présente, est également attribuable à l'état du prévenu, et ne peut donc lui être reprochée. Celui-ci paraît être un bon fils de même qu'un bon père et tente de demeurer inséré socialement. Pour le surplus, sa situation personnelle est doublement en lien avec les faits, dans la mesure où il était opposé à la partie plaignante D______ par un conflit d'ordre civil, et où son état de santé a sérieusement biaisé sa perception. La première circonstance ne justifie pas ses agissements. Elle ne les explique pas même, contrairement à la seconde. Le prévenu n'a pas d'antécédents, ni n'a été condamné depuis les faits. Les deux infractions les plus graves en sont restées toutes deux au stade de la tentative, l'appelant s'étant, à deux reprises, désisté. Néanmoins, il n'a mis fin à sa première attaque que pour mieux s'en prendre à la partie plaignante D______. Aussi, la portée du désistement est plus grande pour le second complexe. Le TCO a retenu que seule une peine privative de liberté entrait en considération y compris pour les menaces ; à raison, tant les faits sont étroitement liés et tant un signal clair paraît indispensable. L'appelant ne le conteste au demeurant pas. Il y a dès lors concours d'infractions, y compris entre les deux tentatives de meurtre, l'appelant s'en étant bien pris à deux vies. Du reste, indépendamment du fait qu'il y a eu deux victimes, force serait de constater que la théorie de l'action continue développée par la défense se heurterait en tout état au fait qu'il y a bien eu deux complexes distincts, l'appelant initiant sa seconde attaque lorsque la partie plaignante D______, qui n'était initialement pas présente, a surgi. Compte tenu de l'ensemble des éléments qui précèdent hormis ceux liés à l'état mental du prévenu, la peine adéquate serait une peine de cinq ans pour la première tentative de meurtre, quatre ans pour la seconde (peine hypothétique : quatre ans et neuf mois, le désistement pesant davantage), un mois pour les premières menaces (peine hypothétique : 45 jours) et deux fois quinze jours (peine hypothétique : un mois) pour les menaces proférées durant les deux attaques. A ce stade, la peine devrait donc être de neuf ans et deux mois, ramenée à quatre ans et demi, vu la responsabilité moyennement restreinte. L'interdiction de la reformatio in pejus empêche la juridiction d'appel de prononcer cette peine et de porter ensuite en déduction (non en réduction) la juste compensation imposée par la violation du principe de célérité, constatée par le TCO et incontestée en appel, notamment par le MP. Dès lors, il convient de confirmer la quotité de la peine par trois ans et demi résultant du dispositif du jugement entrepris.</w:t>
      </w:r>
    </w:p>
    <w:p>
      <w:r>
        <w:rPr>
          <w:b/>
        </w:rPr>
        <w:t>E. 6</w:t>
      </w:r>
    </w:p>
    <w:p>
      <w:r>
        <w:t>6.1.1.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6.1.2.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 cf . art. 56 al. 1 let. b CP). La mesure est ordonnée sans égard au type et à la durée de la peine prononcée. Sont déterminants l'état des facultés mentales de l'auteur ainsi que l'impact de la mesure sur le risque de commission d'autres infractions. Un traitement ambulatoire selon l'art. 63 CP ne peut en règle générale excéder cinq ans, mais peut être prolongé à chaque fois de un à cinq ans ; une telle prolongation est possible aussi souvent que cela est nécessaire. La mesure ne prend pas fin avec l'écoulement du temps, mais dure en principe le temps nécessaire pour que son but soit atteint ou jusqu'à ce qu'il paraisse exclu qu'il puisse l'être (arrêt du tribunal fédéral 6B_1130/2018 du 15 novembre 2018 consid. 1.1 ; ATF 143 IV 445 consid. 2.2 p. 447 ; ATF 141 IV 236 consid. 3.5 p. 240 ; ATF 141 IV 49 consid. 2.1 p. 51 s.).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(ATF 129 IV 161 consid. 4.1 et 4.3 p. 162 ss ; en application du nouveau droit : voir arrêts du Tribunal fédéral 6B_1150/2014 du 19 novembre 2015 consid. 3.2.2 et 6B_335/2012 du 13 août 2012 consid. 2.1). La suspension de la peine revêt un caractère exceptionnel (arrêt du Tribunal fédéral 6B_222/2012 du 8 octobre 2012 consid. 2.1 et les références).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arrêts du Tribunal fédéral 6B_992/2017 du 11 décembre 2017 consid. 2.1.2 ; 6B_53/2017 du 2 mai 2017 consid. 1.3). 6.2.1. Les conditions au prononcé d'un traitement ambulatoire sont clairement réalisées : le prévenu souffrait, au moment des faits et encore lors de l'établissement du rapport d'expertise du 28 janvier 2016, d'un grave trouble mental, lequel était en rapport avec les actes qu'il a commis et il présentait un risque de récidive d'infractions de même type, lequel était susceptible d'être contenu par une prise en charge psychiatrique ambulatoire, étant précisé qu'il ne s'y opposait pas. L'appelant ne conteste pas ces conclusions, pas plus qu'il ne soutient qu'elles ne seraient plus d'actualité. Le prononcé de la mesure doit ainsi être confirmé. 6.2.2. L'appelant requiert que la peine, au cas où la quotité en serait maintenue au-delà de celle compatible avec l'octroi du sursis, soit suspendue au profit de la mesure, dont il affirme qu'elle a des chances de succès et se prévalant de son bon comportement depuis les faits de même que de leur ancienneté. Il rappelle qu'il consulte un généraliste et soutient avoir tenté d'anticiper la mise en œuvre de la mesure, en vain. A rigueur d'expertise, la mesure est parfaitement compatible avec l'exécution de la peine et l'absence de suivi psychiatrique spécialisé, ou à tout le moins son interruption durant plusieurs mois, n'est guère rassurante, d'autant moins qu'il n'est pas contesté que l'appelant vit toujours dans la conviction paranoïaque qu'il n'a fait que se défendre. Il sied à cet égard d'observer que le CAPPI ne peut être tenu pour responsable de ce que le suivi en application de l'art. 63 CP n'a pas été mis en place, dès lors que le jugement l'ordonnant n'est pas en force. Toutefois il est vrai que la présente affaire a ceci d'extraordinaire que près de huit ans se sont écoulés depuis les faits sans que le prévenu, qui n'a à aucun moment été placé en détention, ne commette de nouvelle infraction. Cela conduit, d'une part, à supposer que l'encadrement par le généraliste et le suivi psychiatrique, dans la mesure où il a eu lieu, ont déployé l'effet recherché, d'autre part, à craindre qu'une incarcération ne soit incompréhensible pour l'intéressé et ne fasse qu'attiser ses traits paranoïaques. Dans cette configuration exceptionnelle, il paraît donc préférable de suspendre la peine au profit de la mesure, afin de lui permettre de déployer ses effets et d'atteindre l'objectif de réinsertion. L'appel du condamné est partant admis, sur ce point.</w:t>
      </w:r>
    </w:p>
    <w:p>
      <w:r>
        <w:rPr>
          <w:b/>
        </w:rPr>
        <w:t>E. 7</w:t>
      </w:r>
    </w:p>
    <w:p>
      <w:r>
        <w:t>L'appelant n'a pris aucune conclusion relative aux prétentions des parties plaignantes telles qu'admises par les premiers juges, au-delà de l'indication selon laquelle il contestait le jugement dans son ensemble, ni n'y a consacré le moindre développement. Il faut en déduire qu'il ne critiquait ni le principe ni la quotité de dites prétentions pour l'hypothèse où le verdict de culpabilité serait confirmé.</w:t>
      </w:r>
    </w:p>
    <w:p>
      <w:r>
        <w:rPr>
          <w:b/>
        </w:rPr>
        <w:t>E. 8</w:t>
      </w:r>
    </w:p>
    <w:p>
      <w:r>
        <w:t>8.1. L'appelant D______ se méprend lorsqu'il reproche au TCO d'avoir refusé de lui allouer une indemnité couvrant ses frais de défense encourus en qualité de prévenu au motif qu'il aurait dû recourir de l'ordonnance de classement qui renvoyait la question au juge du fond : une telle motivation a bien été développée au consid 9.2.1 du jugement, mais ce en relation avec les prétentions en tort moral (art. 429 al. 1 let. c CPP) des deux anciens co-prévenus de rixe, soit une question que cet appelant n'a pas portée en appel. 8.2.1. En revanche, le TCO a admis le principe de la couverture des frais de défense exposés par l'appelant D______ aussi bien comme prévenu que comme partie plaignante, lui allouant une indemnité globale, fixée ex aequo et bono , à CHF 30'320.35, étant observé que cette somme est très proche de celle réclamée pour l'ensemble de la procédure (CHF 18'414.- + CHF 6'048.55 + une dizaine d'heures au taux de CHF 400.-/heure pratiqué par son conseil et la durée des débats de première instance). L'intéressé n'élève aucune critique à l'égard du quantum ainsi fixé ex aequo et bono , ce à raison, étant rappelé que, statuant selon les règles du droit et de l'équité (art. 4 du code civil [CC]), le juge dispose d'un large pouvoir d'appréciation. En définitive, il n'y a qu'une modification à apporter au jugement entrepris, laquelle a trait à l'identité du débiteur. En effet, les frais de défense du prévenu acquitté ou bénéficiant d'un classement doivent être supportés par l'Etat, en application de l'art. 429 al. 1 let a CPP alors que ceux de la partie plaignante qui obtient gain de cause échoient au prévenu, selon l'art. 433 al. 1 CPP. Dans la mesure où il est vrai que la défense d'un prévenu nécessite en règle générale davantage de travail que celle d'une partie plaignante, il sera admis que la moitié des honoraires de son avocat relevaient de la première activité, quand bien même elle a pris fin avec le prononcé de l'ordonnance de classement. Le jugement est ainsi reformé et le prévenu condamné à payer CHF 15'160.20 à l'appelant D______ en couverture de ses frais d'avocat supportés en qualité de partie plaignante durant la procédure préliminaire et de première instance, alors qu'une indemnité d'un montant équivalent, sans intérêts (ATF 143 IV 495 consid. 2.2.4 ; arrêt du Tribunal fédéral 6B_1008/2017 du 5 avril 2018 consid. 2.3 in fine ), est allouée à ce dernier, à la charge de l'Etat, à titre d'indemnisation pour ses frais de défense de prévenu. L'appel de D______ est admis dans cette faible mesure.</w:t>
      </w:r>
    </w:p>
    <w:p>
      <w:r>
        <w:rPr>
          <w:b/>
        </w:rPr>
        <w:t>E. 9</w:t>
      </w:r>
    </w:p>
    <w:p>
      <w:r>
        <w:t>9.1. L'appelant A______ n'obtient que partiellement gain de cause, soit sur la suspension de la peine, question qui ne concerne pas les parties plaignantes de sorte qu'elles ne succombent pas en tant que partie intimée. L'appel de la partie plaignante D______ n'a également abouti qu'en partie et visait une prestation due par l'Etat, de sorte que son admission partielle bénéficie au prévenu. Ce dernier ne saurait être considéré avoir succombé. Eu égard à la règle consacrée par l'art. 428 al. 1 CPP et à l'importance très inégale des questions posées par les deux recours, il convient de répartir les frais de la procédure de seconde instance à raison de 60% (sur 80%) à la charge de l'appelant A______ et de 10% (sur 20%) à celle de l'appelant D______, le solde étant supporté par l'Etat. Lesdits frais comprennent un émolument d'arrêt de CHF 3'000.- (art. 14 al. 1 let e du Règlement fixant le tarif des frais en matière pénale [RTFMP]).</w:t>
      </w:r>
    </w:p>
    <w:p>
      <w:r>
        <w:rPr>
          <w:b/>
        </w:rPr>
        <w:t>E. 9.2</w:t>
      </w:r>
    </w:p>
    <w:p>
      <w:r>
        <w:t>Le verdict de culpabilité demeurant inchangé, il n'y a pas lieu de revoir la répartition des frais ordonnée par les premiers juges (art. 428 al. 2 CPP a contrario ).</w:t>
      </w:r>
    </w:p>
    <w:p>
      <w:r>
        <w:rPr>
          <w:b/>
        </w:rPr>
        <w:t>E. 10</w:t>
      </w:r>
    </w:p>
    <w:p>
      <w:r>
        <w:t>10.1. La règle de l'art. 433 al. 1 CPP s'applique à la procédure d'appel, par renvoi de l'art. 436 CPP al. 1 CPP. La décision sur les frais préjuge de la question de l'indemnisation (ATF 144 IV 207 consid. 1.8.2 ; 137 IV 352 consid. 2.4.2).</w:t>
      </w:r>
    </w:p>
    <w:p>
      <w:r>
        <w:rPr>
          <w:b/>
        </w:rPr>
        <w:t>E. 10.2</w:t>
      </w:r>
    </w:p>
    <w:p>
      <w:r>
        <w:t>Il sera considéré que la moitié du temps consacré par le conseil de la partie plaignante D______ à préparer les débats d'appel avait trait à sa défense contre le recours du prévenu, le solde à son propre appel. En revanche, la plus grande partie de l'audience devant la Cour a été consacrée au sort dudit prévenu. Trois heures et trente minutes sur les quatre écoulés seront retenues à ce titre. Aussi, cette partie plaignante se verra allouer : -          CHF 2'369.40 (cinq heures et demi au taux horaire de CHF 400.- + la TVA) en couverture de ses honoraires d'avocat de partie plaignante, intimée, à la charge du prévenu ;![endif]&gt;![if&gt; -          CHF 538.50 ([deux heures et demi au même taux + TVA]/2) pour ses frais de défense comme partie appelante qui n'obtient que partiellement gain de cause, à la charge de l'Etat.![endif]&gt;![if&gt;</w:t>
      </w:r>
    </w:p>
    <w:p>
      <w:r>
        <w:rPr>
          <w:b/>
        </w:rPr>
        <w:t>E. 11.1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65.- pour les avocats-stagiaires ou CHF 200.- pour une cheffe d'Etude.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Les séances internes entre le défenseur d'office et son stagiaire, par exemple, ne sont pas indemnisées par l'assistance juridique ( AARP/57/2016 du 9 février 2016 consid. 7.2 et 7.3 ; AARP/307/2014 du 2 juillet 2014 ; AARP/20/2014 du 7 janvier 2014), étant relevé que la formation du stagiaire n'a pas à être financée par l'assistance juridique .</w:t>
      </w:r>
    </w:p>
    <w:p>
      <w:r>
        <w:rPr>
          <w:b/>
        </w:rPr>
        <w:t>E. 11.2</w:t>
      </w:r>
    </w:p>
    <w:p>
      <w:r>
        <w:t>En l'occurrence, il n'était pas nécessaire à la défense de la partie plaignante F______ que celle-ci rencontre à deux reprise son conseil juridique pour préparer les débats d'appel, d'autant moins qu'ils avaient eu amplement le temps de s'entretenir de tous les aspects du dossier au long du mandat. Un seul entretien sera admis. Le temps consacré par la cheffe d'Etude à la préparation d'une audience à laquelle elle n'allait pas assister ne peut relever que de la formation du stagiaire. La durée de préparation dudit stagiaire n'ayant pas été portée à l'état de frais, l'heure facturée sera retenue, mais rémunérée au tarif réservé aux stagiaires. En conclusion, la rémunération de l'avocate sera arrêtée à CHF 737.75 correspondant à une heure d'activité de cheffe d'Etude, cinq de stagiaire (présence à l'audience comprise) + plus la majoration forfaitaire de 20% (CHF 105.-) + une vacation aller-retour à l'audience (CHF 55.-) + l'équivalent de la TVA au taux de 7.7% en CHF 52.75.</w:t>
      </w:r>
    </w:p>
    <w:p>
      <w:r>
        <w:rPr>
          <w:b/>
        </w:rPr>
        <w:t>E. 11.3</w:t>
      </w:r>
    </w:p>
    <w:p>
      <w:r>
        <w:t>S'il peut être admis que les échanges avec un client présentant des troubles tels ceux dont souffre par le prévenu nécessite que l'avocat d'office y consacre davantage de temps que dans d'autres situations et si les contacts avec les intervenants médicaux pouvaient relever de la défense stricto sensu , s'agissant d'identifier dans quelle mesure un suivi comparable à celui préconisé par l'expert pouvait être, puis avait été, mis en place, il reste que les huit heures et 45 minutes facturées à ce titre excèdent largement ce qui peut être considéré comme entrant, même avec un regard peu sévère, dans le mandat de défense devant la juridiction d'appel. Cinq heures seront retenues globalement, soit environ trois heures et demi d'entretiens avec l'assisté et une heure et demi de contacts avec les intervenants médicaux. De même, la préparation des débats d'appel, dans un dossier que l'avocat venait de plaider en première instance ne justifiait pas neuf heures et demi de travail d'un conseil chevronné, devant satisfaire à l'obligation de se montrer expédient, et ce compte tenu également de l'argumentation développée. Six heures seront retenues, outre les quatre heures correspondant à la durée de l'audience d'appel. La rémunération du défenseur d'office du prévenu sera donc arrêtée, pour la procédure d'appel, à CHF 3'661.80 (CHF 3'000.- + l'indemnisation forfaitaire, de 10% l'activité totale dépassant les 30 heures, + une vacation par CHF 100.- +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