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P/16062/2018 vom 24. Januar 2019</w:t>
      </w:r>
    </w:p>
    <w:p>
      <w:r>
        <w:t>GE Cour de justice, 2019-01-24, FR</w:t>
      </w:r>
    </w:p>
    <w:p>
      <w:r>
        <w:rPr>
          <w:b/>
        </w:rPr>
        <w:t xml:space="preserve">Quelle: </w:t>
      </w:r>
      <w:r>
        <w:t>https://mcp.opencaselaw.ch/entscheid/ge_gerichte_P_16062_2018</w:t>
      </w:r>
    </w:p>
    <w:p>
      <w:r>
        <w:t>FR: GE_GERICHTE P/16062/2018 du 24 janvier 2019</w:t>
      </w:r>
    </w:p>
    <w:p>
      <w:r>
        <w:t>IT: GE_GERICHTE P/16062/2018 del 24 gennaio 2019</w:t>
      </w:r>
    </w:p>
    <w:p>
      <w:pPr>
        <w:pStyle w:val="Heading2"/>
      </w:pPr>
      <w:r>
        <w:t>Regeste</w:t>
      </w:r>
    </w:p>
    <w:p>
      <w:r>
        <w:t>USURE(DROIT PÉNAL) ; SOUPÇON | cpp.310; cp.157</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 du 15 mai 2018.</w:t>
      </w:r>
    </w:p>
    <w:p>
      <w:r>
        <w:rPr>
          <w:b/>
        </w:rPr>
        <w:t>E. 2.1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 2.2.1. L'art. 157 ch. 1 CP punit celui qui, notamment,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Le lésé doit se trouver dans une situation de gêne telle qu'elle réduit sa liberté de décision au point qu'il se déclare prêt à fournir une prestation disproportionnée (ATF 92 IV 137 consid. 2 ; B. CORBOZ, Les infractions en droit suisse , Berne 2010, n. 7 ad art. 157). L'état de gêne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Sur le plan subjectif, l'infraction est intentionnelle, mais le dol éventuel suffit. 2.2.2. Dans une ordonnance (RS 221.214.111), le Département fédéral de justice et police (ci-après: DFJP) a fixé à 10% le taux maximal d'intérêts pour les crédits au comptant au sens de l'art. 9 de la loi fédérale sur les crédits à la consommation (RS 221.214.1 - LCC). 2.2.3. Dans un arrêt très récent, le Tribunal fédéral a retenu une prévention pénale suffisante d'usure dans le cas où une ressortissante philippine avait prêté de l'argent à un taux atteignant généralement 20% à des compatriotes qui se trouvaient pour la plupart en situation précaire - tant sur le plan de leur droit de séjour en Suisse qu'au regard de leur situation socio-professionnelle - et avait fixé des pénalités correspondant à 10% du montant emprunté en cas de retard de paiement et exigé la remise d'objets de valeurs, tels que des bijoux, en garantie des prêts (arrêt du Tribunal fédéral 1B_295/2019 du 1 er juillet 2019, consid. 4.2).</w:t>
      </w:r>
    </w:p>
    <w:p>
      <w:r>
        <w:rPr>
          <w:b/>
        </w:rPr>
        <w:t>E. 2.3</w:t>
      </w:r>
    </w:p>
    <w:p>
      <w:r>
        <w:t>L'art. 180 al. 1 CP réprime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arrêt du Tribunal fédéral 6B_578/2016 du 19 août 2016 consid. 2.1).</w:t>
      </w:r>
    </w:p>
    <w:p>
      <w:r>
        <w:rPr>
          <w:b/>
        </w:rPr>
        <w:t>E. 2.4</w:t>
      </w:r>
    </w:p>
    <w:p>
      <w:r>
        <w:t>En l'espèce, il ressort des déclarations de la recourante qu'en raison de sa situation financière précaire, elle a été contrainte de contracter un premier prêt auprès d'une compatriote, prêt qu'elle n'est parvenue à rembourser qu'au moyen d'autres emprunts. Ainsi, D______ lui a prêté la somme de CHF 9'000.- qu'elle devait rembourser en quatre mensualités de CHF 2'700.-. Le taux d'intérêts fixé par la précitée était donc de 20%. De même, en prêtant la somme de CHF 4'000.- que la recourante devait rembourser en quatre mensualités de CHF 1'200.-, le taux d'intérêts fixé par F______ était de 20%. S'agissant du prêt de CHF 8'000.- octroyé par E______, que la recourante devait rembourser en huit mensualités de CHF 1'240.-, le taux d'intérêts était de 24%. En outre, même si la durée du prêt octroyé par G______ n'est pas précisée par la recourante, le taux d'intérêts mensuel de CHF 200.- semble également dépasser le taux maximal de 10% fixé par le DFJP. Enfin, la recourante a déclaré que les mises en cause l'avaient menacée de dénonciation auprès des autorités car elle ne disposait pas d'un titre de séjour, ou de tuer sa famille, pour la contraindre à s'acquitter de ces montants. Au vu de ce qui précède, les faits paraissent constitutifs d'usure au sens de l'art. 157 CP et de la jurisprudence précitée, de sorte que les allégations de la recourante ne peuvent être écartées à ce stade précoce de la procédure. En effet, les mises en cause semblent avoir profité de la situation précaire dans laquelle se trouvait la recourante pour lui prêter de l'argent à des taux usuraires. À cet égard, en reconnaissant avoir consenti un prêt de CHF 8'000.- remboursable en huit mensualités de CHF 1'240.-, E______ admet implicitement l'infraction qui lui est reprochée. En outre, il ressort du dossier qu'une procédure similaire a déjà été ouverte à tout le moins contre D______, et le Ministère public n'allègue pas que ladite procédure serait terminée. S'agissant des menaces proférées par les mises en cause, celles-ci sont plausibles dans la mesure où la recourante n'avait pas remboursé les mensualités convenues. Enfin, bien que F______ n'ait pas été entendue par la police car elle se trouvait aux Philippines, elle ne saurait être considérée comme définitivement inatteignable. En effet, celle-ci devant a priori bénéficier d'une régularisation de son permis de séjour, tout porte à croire qu'elle reviendra en Suisse prochainement. Pour toutes ces raisons, il appartiendra donc au Ministère public de poursuivre l'instruction préliminaire contre les mises en cause, voire d'ouvrir une instruction à leur encontre, et de joindre les procédures, suivant le résultat de ses investigations.</w:t>
      </w:r>
    </w:p>
    <w:p>
      <w:r>
        <w:rPr>
          <w:b/>
        </w:rPr>
        <w:t>E. 3</w:t>
      </w:r>
    </w:p>
    <w:p>
      <w:r>
        <w:t>La recourante a sollicité l'octroi de l'assistance judiciaire et l'exonération des frais de la procédure de recours.</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3.2</w:t>
      </w:r>
    </w:p>
    <w:p>
      <w:r>
        <w:t>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Conseil fédéral relatif à l'unification du droit de la procédure pénale du 21 décembre 2005, FF 2006 1160 ; ATF 116 Ia 459 consid. 4e ;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 Sur délégation de la direction de la procédure, le Service de l'assistance juridique du Pouvoir judiciaire établit la situation financière de la partie plaignante et administre les preuves nécessaires (art. 20 al. 1 et 2 LaCP).</w:t>
      </w:r>
    </w:p>
    <w:p>
      <w:r>
        <w:rPr>
          <w:b/>
        </w:rPr>
        <w:t>E. 3.3</w:t>
      </w:r>
    </w:p>
    <w:p>
      <w:r>
        <w:t>L'assistance juridique est en règle générale octroyée avec effet au jour du dépôt de la requête (art. 5 al. 1 RAJ).</w:t>
      </w:r>
    </w:p>
    <w:p>
      <w:r>
        <w:rPr>
          <w:b/>
        </w:rPr>
        <w:t>E. 3.4</w:t>
      </w:r>
    </w:p>
    <w:p>
      <w:r>
        <w:t>En l'espèce, l'indigence de la recourante a été établie par le Service de l'assistance juridique et ses prétentions civiles - bien que non encore formellement déposées - n'apparaissent pas vouées à l'échec, au vu de l'issue du recours. La nécessité d'un conseil juridique gratuit sera admise pour la procédure de recours, les notions juridiques étant relativement complexes, et Me C______, actuelle conseil de la recourante, désignée en cette qualité.</w:t>
      </w:r>
    </w:p>
    <w:p>
      <w:r>
        <w:rPr>
          <w:b/>
        </w:rPr>
        <w:t>E. 4</w:t>
      </w:r>
    </w:p>
    <w:p>
      <w:r>
        <w:t>L'admission du recours ne donne pas lieu à la perception de frais (art. 428 al. 1 CPP et 20 RAJ).</w:t>
      </w:r>
    </w:p>
    <w:p>
      <w:r>
        <w:rPr>
          <w:b/>
        </w:rPr>
        <w:t>E. 5</w:t>
      </w:r>
    </w:p>
    <w:p>
      <w:r>
        <w:t>L'indemnité due à Me C______ pour la présente procédure sera arrêtée à CHF 430.80, soit deux heures pour la rédaction d'un recours de 5 pages - dont 3 de discussion juridique -, TVA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