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P/16003/2015 vom 24. Oktober 2018</w:t>
      </w:r>
    </w:p>
    <w:p>
      <w:r>
        <w:t>GE Cour de justice, 2018-10-24, FR</w:t>
      </w:r>
    </w:p>
    <w:p>
      <w:r>
        <w:rPr>
          <w:b/>
        </w:rPr>
        <w:t xml:space="preserve">Quelle: </w:t>
      </w:r>
      <w:r>
        <w:t>https://mcp.opencaselaw.ch/entscheid/ge_gerichte_P_16003_2015</w:t>
      </w:r>
    </w:p>
    <w:p>
      <w:r>
        <w:t>FR: GE_GERICHTE P/16003/2015 du 24 octobre 2018</w:t>
      </w:r>
    </w:p>
    <w:p>
      <w:r>
        <w:t>IT: GE_GERICHTE P/16003/2015 del 24 ottobre 2018</w:t>
      </w:r>
    </w:p>
    <w:p>
      <w:pPr>
        <w:pStyle w:val="Heading2"/>
      </w:pPr>
      <w:r>
        <w:t>Regeste</w:t>
      </w:r>
    </w:p>
    <w:p>
      <w:r>
        <w:t>PRÉSOMPTION D'INNOCENCE ; CONTRAINTE(DROIT PÉNAL) ; ENLÈVEMENT(INFRACTION) ; DÉPENS ; COMPENSATION DE CRÉANCES | LCR.90; CP.181; CP.183; CPP.10.al3; CPP.429.al1.leta; CPP.442.al4; CPP.136.al2.leta; CPP.136.al2.letb; CPP.436.al2</w:t>
      </w:r>
    </w:p>
    <w:p>
      <w:pPr>
        <w:pStyle w:val="Heading2"/>
      </w:pPr>
      <w:r>
        <w:t>Erwägungen</w:t>
      </w:r>
    </w:p>
    <w:p>
      <w:r>
        <w:rPr>
          <w:b/>
        </w:rPr>
        <w:t>E. 1</w:t>
      </w:r>
    </w:p>
    <w:p>
      <w:r>
        <w:t>Les appels (principal et joint) sont recevables pour avoir été interjetés et motivés selon la forme et dans les délais prescrits (art. 398 s. et 401 CPP). La Chambre limite son examen aux violations décrites dans l'acte d'appel (art. 404 al. 1 CPP), sauf en cas de décisions illégales ou inéquitables (art. 404 al. 2 CPP).</w:t>
      </w:r>
    </w:p>
    <w:p>
      <w:r>
        <w:rPr>
          <w:b/>
        </w:rPr>
        <w:t>E. 2</w:t>
      </w:r>
    </w:p>
    <w:p>
      <w:r>
        <w:t>2.1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Cst. et 10 al. 3 CPP, ainsi que son corollaire, le principe in dubio pro reo ,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rPr>
          <w:b/>
        </w:rPr>
        <w:t>E. 2.2</w:t>
      </w:r>
    </w:p>
    <w:p>
      <w:r>
        <w:t>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3</w:t>
      </w:r>
    </w:p>
    <w:p>
      <w:r>
        <w:t>3.1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w:t>
      </w:r>
    </w:p>
    <w:p>
      <w:r>
        <w:rPr>
          <w:b/>
        </w:rPr>
        <w:t>E. 3.2</w:t>
      </w:r>
    </w:p>
    <w:p>
      <w:r>
        <w:t>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rPr>
          <w:b/>
        </w:rPr>
        <w:t>E. 4</w:t>
      </w:r>
    </w:p>
    <w:p>
      <w:r>
        <w:t>4.1 L'établissement du rapport de police, presque une année après les faits et postérieurement au dépôt de la plainte pénale, est propre à porter un doute sur le déroulement des événements survenus le soir du 17 septembre 2014. Vu le temps écoulé depuis l'intervention policière, le contenu du rapport apparaît sommaire, voire lacunaire. C'est en vain que l'on cherche ainsi des précisions sur l'état dans lequel se trouvait le locataire au moment de l'intervention, son habillement, le temps qu'il a fallu pour retrouver les affaires de la plaignante, sans compter la manière dont celle-ci est venue sur place, seule ou accompagnée, et est entrée dans l'appartement, cas échéant avec ses clés. Par ailleurs, certains éléments factuels mentionnés dans le rapport n'ont pu être constatés par les policiers et ne sont donc que le reflet des dires de l'une ou l'autre partie. Au vu du ce qui précède, ce rapport de police ne saurait avoir une valeur probante déterminante ni être lu comme un document établissant les faits reprochés à l'intimé sur appel principal (ci-après : l'intimé). Que les policiers aient raccompagné l'appelante principale (ci-après : l'appelante ou la partie plaignante) à son domicile et lui aient conseillé de porter plainte si elle " souhaitait donner suite à cette affaire " n'y change rien.</w:t>
      </w:r>
    </w:p>
    <w:p>
      <w:r>
        <w:rPr>
          <w:b/>
        </w:rPr>
        <w:t>E. 4.2</w:t>
      </w:r>
    </w:p>
    <w:p>
      <w:r>
        <w:t>Le récit de l'intimé est resté constant au cours de la procédure. Il a spontanément évoqué tant le rapport sexuel que l'établissement de reconnaissances de dettes, alors même que l'appelante n'avait pas mentionné l'existence d'une relation intime dans un premier temps. Il n'a jamais contesté que, contrairement à son habitude, la porte était fermée, qui plus est sans clé sur la serrure à l'intérieur. Elle n'avait pas été cachée ni placée dans la poche de son pantalon sinon par inadvertance en se déshabillant. De facto, les affaires personnelles de son épouse ont été retrouvées dans l'appartement sans que des recherches intensives aient été nécessaires. Son alcoolisation le 17 septembre 2014 peut être le motif de sa difficulté à fournir des explications cohérentes sur place. Quand bien même le rapport de police lui reproche de n'avoir eu de cesse de changer de version, il ne contient aucune précision ni élément justifiant cette appréciation, si bien que les déclarations de l'intimé seront globalement tenues pour crédibles.</w:t>
      </w:r>
    </w:p>
    <w:p>
      <w:r>
        <w:rPr>
          <w:b/>
        </w:rPr>
        <w:t>E. 4.3</w:t>
      </w:r>
    </w:p>
    <w:p>
      <w:r>
        <w:t>Il n'en va pas de même de celles de l'appelante, lesquelles présentent des variations et contradictions importantes qui soulèvent des doutes sérieux quant au poids qu'il convient de leur accorder. L'appelante a donné des versions s'excluant mutuellement s'agissant de la manière dont elle s'était rendue au domicile de l'intimé et la durée de la séquestration alléguée. Si elle s'est rendue seule au domicile de l'intimé, il n'est pas exclu qu'elle ait ouvert la porte avec sa propre clé et l'ait refermée derrière elle. Si elle a contacté la police aussitôt qu'elle a constaté la disparition de ses affaires, il est douteux qu'elle ait pu être enfermée trois heures durant. Comme elle n'a jamais déclaré avoir eu de la peine à se saisir du téléphone de l'intimé ou avoir dû attendre le bon moment pour se mettre en contact avec la police, il est incompréhensible qu'elle soit restée plusieurs heures au domicile de l'intimé, sauf à ne pas y être confinée. Un autre indice du défaut de fiabilité des faits dénoncés tient à une progression de leur gravité au fil des déclarations. Après avoir uniquement prétendu avoir été enfermée contre sa volonté, elle a surenchéri au moment du dépôt de la plainte pénale par des accusations de menaces, de viol et de contrainte de signer certains documents. Ses explications, selon lesquelles elle n'a pas tout de suite dénoncé l'intégralité des faits aux policiers par peur ou par souhait de partir plus rapidement de l'appartement ne convainquent pas. Le rapport de police ne mentionne pas qu'elle était bouleversée ou en état de choc comme prétendu. En présence des policiers, elle aurait de toute manière pu s'en aller, même dans l'hypothèse d'une dénonciation exhaustive des faits subis. D'ailleurs, elle n'a pas recouru contre le classement du viol, ce qui fait douter de la fiabilité de son récit. Les raisons données par l'appelante afin de justifier son attente de près de neuf mois avant de porter plainte n'emportent pas davantage la conviction de la CPAR. On ne comprend en particulier pas pourquoi elle n'aurait plus eu peur au moment du dépôt de la plainte pénale, ce d'autant plus que le harcèlement dont elle se plaignait aurait continué. Force est de constater que la date du dépôt de plainte, comportant de surcroît de nouvelles accusations, coïncide curieusement avec le refus de l'intimé de signer des documents de divorce. La thèse d'une riposte face au refus répété de l'intimé de faire droit à sa demande n'est pas éloignée.</w:t>
      </w:r>
    </w:p>
    <w:p>
      <w:r>
        <w:rPr>
          <w:b/>
        </w:rPr>
        <w:t>E. 4.4</w:t>
      </w:r>
    </w:p>
    <w:p>
      <w:r>
        <w:t>Au vu de ce qui précède et compte tenu du conflit conjugal qui oppose les parties ainsi que de l'absence de preuves matérielles, il subsiste un doute sérieux concernant les faits reprochés à l'intimé qui doit lui profiter, en application du principe in dubio pro reo . Rien ne permet de reprocher à l'intimé une entrave dans la liberté d'action de son épouse, ce qu'illustre d'ailleurs le rapport sexuel qu'ils ont entretenu. Le jugement querellé sera donc confirmé et l'appel principal rejeté.</w:t>
      </w:r>
    </w:p>
    <w:p>
      <w:r>
        <w:rPr>
          <w:b/>
        </w:rPr>
        <w:t>E. 5</w:t>
      </w:r>
    </w:p>
    <w:p>
      <w:r>
        <w:t>5.1 Selon l'art. 429 al. 1 let. a CPP, le prévenu bénéficiant d'une ordonnance de classement a droit à une indemnité pour les dépenses occasionnées par l'exercice raisonnable de ses droits de procédure. La question de l'indemnisation doit être tranchée après la question des frais (arrêt du Tribunal fédéral 6B_1176/2015 du 23 novembre 2016 consid. 1.2).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 cf. Message relatif à l'unification du droit de la procédure pénale du 21 décembre 2005, FF 2006 1057, p. 1313). La Cour de justice applique au chef d'étude un tarif horaire de CHF 450.- ou de CHF 400.- ( ACPR/282/2014 du 30 mai 2014), notamment si l'avocat concerné avait lui-même calculé sa prétention à ce taux-là ( ACPR/377/2013 du 13 août 2013). 5.2.1 La réduction de plus de trois heures de temps opérée par le premier juge est incompréhensible. On comprend qu'elle touche tant les entretiens avec le client que la préparation et la durée d'audience, mais elle n'est pas motivée sinon par l'affirmation selon laquelle la note d'honoraires "sera revue à la baisse". Une telle réduction n'apparait pas conforme à la juste rémunération de l'avocat, compte tenu de l'issue du litige et du fait que le prévenu s'en est rapporté à justice s'agissant de l'infraction à la LCR qui n'a pas été débattue en première instance. Il sera ainsi fait droit à sa demande en indemnisation. C'est donc un montant de CHF 3'161.-, correspondant à 6h50 à CHF 450.-, plus CHF 86.- de frais de photocopies, qui sera alloué à l'appelant joint. Le jugement entrepris sera réformé dans cette mesure. 5.2.2 En application de l'art. 442 al. 4 CPP, l'indemnité octroyée à l'appelant joint sera compensée, à due concurrence, avec les frais de procédure de première instance mis à sa charge.</w:t>
      </w:r>
    </w:p>
    <w:p>
      <w:r>
        <w:rPr>
          <w:b/>
        </w:rPr>
        <w:t>E. 6</w:t>
      </w:r>
    </w:p>
    <w:p>
      <w:r>
        <w:t>Les frais de la procédure d'appel seront entièrement laissés à la charge de l'Etat, vu la qualité de la partie plaignante (art. 136 al. 2 let. b cum 428 al. 1 et 3 CPP). C'est d'ailleurs à tort, vu la qualité de la partie plaignante qui plaide au bénéfice de l'assistance juridique, qu'un émolument complémentaire a été mis à sa charge après qu'elle a annoncé son intention de faire appel. Le premier juge a ainsi enfreint l'art. 136 al. 2 let. a et b CPP. Il faut malheureusement constater que son conseil n'a pas soulevé cette irrégularité en appel, ce qui ne permet pas à la CPAR de réformer le jugement entrepris sur ce point, l'art. 404 al. 2 CPP n'étant applicable qu'au seul prévenu.</w:t>
      </w:r>
    </w:p>
    <w:p>
      <w:r>
        <w:rPr>
          <w:b/>
        </w:rPr>
        <w:t>E. 7</w:t>
      </w:r>
    </w:p>
    <w:p>
      <w:r>
        <w:t>7.1 Les frais imputables à l'assistance juridique gratuite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conseil juridique gratuit ( cf. art. 138 al. 1 CPP) est indemnisé conformément au tarif des avocats de la Confédération ou du canton du for du procès. L'art. 16 let. c du règlement sur l'assistance juridique du 28 juillet 2010 (RAJ ; E 2 05.04) prescrit que l'indemnité, en matière pénale, est calculée selon le tarif horaire suivant, débours de l'étude inclus, pour un chef d'étude : CHF 200.-. En cas d'assujettissement, l'équivalent de la TVA est versé en sus. Le même montant a été retenu dans le nouveau règlement sur l'assistance juridique entré en vigueur le 1 er octobre 2018, qui est désormais opposable au conseil de l'appelante principale. 7.2.2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Selon la pratique de la CPAR,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7.2.4 La rémunération forfaitaire de la vacation aller/retour au et du Palais de justice ou au et du bâtiment du Ministère public n'a pas changé avec le nouveau règlement. Elle est toujours arrêtée pour le chef d'étude à CHF 100.-, dite rémunération étant allouée d'office pour la juridiction d'appel pour les débats devant elle ( AARP/122/2018 du 23 avril 2018 consid. 2.5).</w:t>
      </w:r>
    </w:p>
    <w:p>
      <w:r>
        <w:rPr>
          <w:b/>
        </w:rPr>
        <w:t>E. 7.3</w:t>
      </w:r>
    </w:p>
    <w:p>
      <w:r>
        <w:t>En application de ces principes, il convient de retenir uniquement 1h30 pour les entretiens de M e B______ avec A______, dans la mesure où les faits ne sont pas particulièrement compliqués et n'impliquent pas de multiplier les contacts. Ainsi, une indemnité de CHF 1'163.15 sera allouée, ce qui correspond à 4h05 d'activité au tarif de CHF 200.-/h (CHF 816.65), compte tenu de la durée de l'audience (1h05), plus la majoration forfaitaire de 20% (CHF 163.35), vu l'activité déployée en appel, ainsi que CHF 100.- de frais de déplacement et l'équivalent de la TVA au taux de 7.7% (CHF 83.15).</w:t>
      </w:r>
    </w:p>
    <w:p>
      <w:r>
        <w:rPr>
          <w:b/>
        </w:rPr>
        <w:t>E. 8</w:t>
      </w:r>
    </w:p>
    <w:p>
      <w:r>
        <w:t>8.1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ou lorsqu'il obtient gain de cause sur la question de l'indemnisation ( ACPR/41/2012 du 30 janvier 2012 ; AARP/229/2018 du 9 juillet 2018 consid. 8 ; AARP/222/2017 du 20 juin 2017 consid. 3 ; M. NIGGLI / M. HEER / H. WIPRÄCHTIGER, Strafprozessordnung – Jugendstrafprozessordnung, Basler Kommentar StPO / JStPO , 2 e éd., Bâle 2014, n. 10 ad art. 436).</w:t>
      </w:r>
    </w:p>
    <w:p>
      <w:r>
        <w:rPr>
          <w:b/>
        </w:rPr>
        <w:t>E. 8.2</w:t>
      </w:r>
    </w:p>
    <w:p>
      <w:r>
        <w:t>En appel, le prévenu obtient pleinement gain de cause, compte tenu de la confirmation de l'acquittement et de l'admission de l'appel joint. L'activité déployée par son conseil est en adéquation avec la nature et la difficulté de la cause . Les conclusions en couverture des frais d'avocat seront ainsi admises par CHF 2'437.50, correspondant à 5h25 d'activité au tarif de CHF 450.-/heure, compte tenu de la durée de l'audience.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