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P/15/2021 vom 11. Mai 2022</w:t>
      </w:r>
    </w:p>
    <w:p>
      <w:r>
        <w:t>GE Cour de justice, 2022-05-11, FR</w:t>
      </w:r>
    </w:p>
    <w:p>
      <w:r>
        <w:rPr>
          <w:b/>
        </w:rPr>
        <w:t xml:space="preserve">Quelle: </w:t>
      </w:r>
      <w:r>
        <w:t>https://mcp.opencaselaw.ch/entscheid/ge_gerichte_P_15_2021</w:t>
      </w:r>
    </w:p>
    <w:p>
      <w:r>
        <w:t>FR: GE_GERICHTE P/15/2021 du 11 mai 2022</w:t>
      </w:r>
    </w:p>
    <w:p>
      <w:r>
        <w:t>IT: GE_GERICHTE P/15/2021 del 11 maggio 2022</w:t>
      </w:r>
    </w:p>
    <w:p>
      <w:pPr>
        <w:pStyle w:val="Heading2"/>
      </w:pPr>
      <w:r>
        <w:t>Regeste</w:t>
      </w:r>
    </w:p>
    <w:p>
      <w:r>
        <w:t>TORT MORAL;INDEMNITÉ POUR DÉTENTION | CPP.429; CP.122; CO.47</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européenne des droits de l'homme (CEDH) et, sur le plan interne, par l'art. 32 al. 1 de la Constitution fédérale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d). En revanche, l'absence de doute à l'issue de l'appréciation des preuves exclut la violation de la présomption d'innocence en tant que règle sur le fardeau de la preuve (ATF 144 IV 345 consid. 2.2.3.3 p. 351 s.).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 du Tribunal fédéral 6B_634/2018 du 22 août 2018 consid. 2.1).</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130 IV 58 consid. 9.2.1 p. 66 ; 125 IV 134 consid. 3a p. 136 et les références citées).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2.3</w:t>
      </w:r>
    </w:p>
    <w:p>
      <w:r>
        <w:t>L'art. 139 ch. 1 CP réprime le comportement de celui qui, pour se procurer ou procurer à un tiers un enrichissement illégitime, aura soustrait une chose mobilière appartenant à autrui dans le but de se l'approprier. La soustraction implique la violation de la possession d'autrui et la création d'une nouvelle possession, en général en faveur de l'auteur (ATF 110 IV 80 consid. 2b p. 84). L'auteur doit agir dans le dessein de se procurer ou de procurer à un tiers un enrichissement illégitime, qui peut résulter du seul fait de vouloir tirer un profit de la chose (B. CORBOZ, Les infractions en droit suisse , vol. I, 3 e éd., Berne 2010, n. 11 ad art. 139).</w:t>
      </w:r>
    </w:p>
    <w:p>
      <w:r>
        <w:rPr>
          <w:b/>
        </w:rPr>
        <w:t>E. 2.4</w:t>
      </w:r>
    </w:p>
    <w:p>
      <w:r>
        <w:t>L'art. 122 CP réprime notamment le comportement de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La lésion grave peut ainsi revêtir la forme d’une défiguration grave et permanente. Tel est notamment le cas en présence d’une coupure s’étendant de la commissure des lèvres à l’oreille lorsque subsiste une cicatrice qui gêne durablement l’expression du visage, tout comme en cas de lésions manifestes de la peau subsistant plusieurs années après une opération ratée (A. MACALUSO / L. MOREILLON / N. QUELOZ (éds), Commentaire romand, Code pénal II, vol. II, Partie spéciale : art. 111-392 CP, Bâle 2017, n. 8 ad art. 122 CP). L'atteinte doit être permanente, c'est-à-dire durable et non limitée dans le temps ; il n'est en revanche pas nécessaire que l'état soit définitivement incurable et que la victime n'ait aucun espoir de récupération (arrêt du Tribunal fédéral 6B_422/2019 du 5 juin 2019 consid. 5.1).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w:t>
      </w:r>
    </w:p>
    <w:p>
      <w:r>
        <w:rPr>
          <w:b/>
        </w:rPr>
        <w:t>E. 2.5</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6B_445/2016 du 5 juillet 2017 consid. 6.1.1 ; 6B_42/2015 du 22 juillet 2015 consid. 2.4.1).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w:t>
      </w:r>
    </w:p>
    <w:p>
      <w:r>
        <w:rPr>
          <w:b/>
        </w:rPr>
        <w:t>E. 2.6</w:t>
      </w:r>
    </w:p>
    <w:p>
      <w:r>
        <w:t>Quiconque, de manière contraire au droit, est attaqué ou menacé d'une attaque imminente a le droit de repousser l'attaque par des moyens proportionnés aux circonstances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arrêts du Tribunal fédéral 6B_6/2017 du 28 février 2018 consid. 4.1 ; 6B_585/2016 du 7 décembre 2016 consid. 3.3), ni le fait de prévoir l'attaque et de s'y préparer, sans toutefois y inciter (ATF 102 IV 228 consid. 2 p. 230).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 2.7.1. En l’espèce, l’appelant conteste toute implication dans le vol commis par ses comparses à la gare de Lausanne le 6 décembre 2020. Les images du vol ne figurent pas à la procédure, mais sont parfaitement décrites par la police, et l’appelant ne les conteste pas. Il ressort des pièces de la procédure que les trois hommes cheminaient de concert dans la gare, sans but apparent, lorsque l’un d’eux s’est brièvement écarté pour s’emparer du sac du plaignant, avant de revenir vers l’appelant et le troisième larron. Ce sac contenait notamment un parapluie, retrouvé sur le troisième homme, et une somme de CHF 1'000.-. Cette somme a été retrouvée deux jours plus tard sur l’appelant, qui s’est énervé lorsque la police l’a saisie, attitude qui tend à démontrer qu’il la considérait comme sienne et n’en était pas simplement le gardien pour un ou des tiers. Ses explications à ce sujet ont d’ailleurs varié. L’appelant plaide à raison que le simple fait de se trouver en compagnie des voleurs ne fait pas de lui un coauteur du vol. Son comportement ne s’est toutefois pas limité à cela, puisqu’il a manifestement attendu son comparse tandis qu’il commettait le vol, recueilli et conservé le butin, puis l’a dissimulé et est resté avec les voleurs. A cela s’ajoute que, la veille encore, il avait participé avec ceux-ci à deux vols à la gare de Genève et dans un train en direction de Lausanne. Ainsi, il ne fait pas de doute pour la Cour que l’appelant et ses comparses se trouvaient bien à la gare de Lausanne dans le but de poursuivre leurs activités communes. Le verdict de culpabilité sera dès lors confirmé, sans qu’il ne soit nécessaire d’examiner si l’aggravante de la bande, retenue à l’égard des comparses, est réalisée, puisqu’elle n’est pas mentionnée dans l’acte d’accusation. 2.7.2. Comme l’a à juste titre retenu le TCO, les déclarations des différents protagonistes des événements du 31 décembre 2020 sont confuses et contradictoires. L’appelant a indubitablement adapté ses déclarations et sa version des faits aux éléments du dossier dont il a pris connaissance après son arrestation. S’il avait réellement été l’objet d’une attaque gratuite par deux personnes, comme il le soutient devant la juridiction d’appel, il n’est tout simplement pas crédible qu’il ne l’ait pas spontanément expliqué dès le début de la procédure. Il a en effet bénéficié, dès son audition à la police, de toute la latitude nécessaire pour s’exprimer sur le déroulement des événements et notamment expliquer la provenance de la lésion qu’il présentait au doigt, au sujet de laquelle il a été interrogé à plusieurs reprises et a persisté à affirmer qu’il se l’était auto-infligée. Il a bénéficié d’emblée de l’assistance d’un avocat qui n’a pu qu’attirer son attention sur l’importance de ses premières déclarations. Ainsi, de deux choses l’une : soit l’appelant n’a effectivement aucun souvenir des faits de la cause, raison pour laquelle il a déclaré qu’il ne s’était rien passé, peut-être en raison de son intoxication alcoolique alléguée (qui n’a pas pu être confirmée au vu du refus de tout constat médical), auquel cas sa version ne correspond à aucun souvenir réel et a été adoptée pour se soustraire aux accusations dont il faisait l’objet. Soit l’appelant a menti en prétendant qu’il ne s’était rien passé, ce qui ne peut s’expliquer que parce qu’il a joué un rôle actif dans le déroulement des faits et qu’il s’est ensuite servi des éléments de la procédure, notamment des explications du lésé qui a, lui, immédiatement indiqué avoir été muni de deux pieds de chaise en métal, pour construire un scénario le mettant hors de cause. Quoi qu’il en soit, la version de l’appelant décrivant une agression unilatérale doit être écartée. La version du plaignant n’est pas plus claire ni convaincante, étant notamment relevé que s’il a indiqué d’emblée s’être muni de deux pieds de chaise, les raisons pour lesquelles il a agi ainsi sont obscures. Il est notamment établi par les constatations non contestées des premiers juges que l’appelant était seul lors de l’altercation l’ayant opposé à la victime, contrairement à ce qu’affirmait celle-ci. Si un couteau a bien été retrouvé dans les affaires du prévenu acquitté, couteau sur lequel l’ADN de la victime et de l’appelant a été retrouvé, l’origine de ces traces de sang tout comme, finalement, la provenance de l’arme utilisée pour porter les coups à la victime, sont des questions qui n’ont jamais pu être élucidées de façon convaincante. Enfin, le rôle du quatrième protagoniste demeure également peu clair. Sa présence sur les lieux, à tout le moins à la fin de l’altercation, est établie puisqu’il a appelé les secours. Compte tenu de l’absence de crédibilité des versions de l’appelant et de l’intimé, il ne peut notamment pas être retenu qu’il aurait participé aux faits. La thèse plaidée par la défense, selon laquelle la victime et son compagnon auraient eu le temps de cacher d’autres armes, est clairement démentie par l’enregistrement de l’appel aux secours, qui permet de constater qu’ils sont restés au même endroit, essayant pendant de longues minutes d’obtenir de l’aide des passants, notamment en se plaçant en travers de la route d’un bus pour qu’une ambulance arrive enfin. La détresse manifestée au long de cet enregistrement n’est pas compatible avec un calcul froid de dissimulation d’armes ou de preuves. Le fait que la victime explique d’emblée s’être munie de pieds de chaise – peu importe à cet égard qu’elle se rétracte par la suite – et qu’un objet correspondant à cette description a bien été retrouvé permet de prêter un meilleur crédit aux premières déclarations de la victime sur le déroulement des faits. La Cour retient donc que, comme l’a expliqué la victime, les deux protagonistes se sont provoqués (preuve en étant le fait de se munir d’objets) avant d’en venir aux mains et au couteau dans un contexte qui doit être qualifié de bagarre, dont l’origine n’est pas établie. Les éléments objectifs du dossier, notamment les constatations des premiers intervenants et des médecins, permettent ensuite de retenir que l’appelant a porté deux coups de couteau à la victime, à la cuisse et au visage au cours de cette bagarre. En présence d’une bagarre recherchée et voulue par les deux protagonistes, c’est donc en vain que l’appelant se prévaut de la légitime défense. Il a en effet provoqué l’altercation, à tout le moins conjointement avec son adversaire, ce qui exclut l’art. 15 CP. Il faut ainsi retenir que l’appelant a causé intentionnellement les coups de couteau à la victime, à l’occasion d’un corps à corps qui les a opposés, dont les motifs exacts souffrent de demeurer inconnus. 2.7.3. Il est indubitable qu’un coup de couteau en travers du visage est susceptible d’altérer gravement la physionomie de celui qui en est victime ; les photos figurant à la procédure sont éloquentes. La Cour constate néanmoins qu’aucune information n’a été fournie par la victime quant à l’évolution de sa lésion, sur laquelle les légistes ne se sont pas prononcés et n’ont d’ailleurs pas été invités à le faire. L’intimé n’a pas fourni la moindre pièce médicale permettant d’évaluer si la cicatrice de ses lésions constitue une défiguration – tombant sous le coup de l’art. 122 CP – ou pas ; il n’a pas même transmis une photographie permettant de constater l’apparence actuelle de son visage. Or, compte tenu des progrès des techniques médicales et de l’âge relativement jeune du blessé, il ne peut être complètement exclu que la lésion se soit suffisamment résorbée pour échapper à la qualification de « défiguration ». Dans ces circonstances, et au bénéfice du doute, la Cour retiendra qu’il n’est pas établi que le coup de couteau a occasionné des lésions graves à la victime ; le résultat nécessaire à la consommation de l'infraction n’est pas démontré. Dans la mesure néanmoins où une telle lésion ne peut être portée que dans l’intention de défigurer celui qui en est victime, les faits seront qualifiés de tentative de lésions corporelles graves au sens des art. 22 et 122 CP, infraction qui absorbe les lésions corporelles simples infligées. Le jugement entrepris sera dès lors réformé en ce sens.</w:t>
      </w:r>
    </w:p>
    <w:p>
      <w:r>
        <w:rPr>
          <w:b/>
        </w:rPr>
        <w:t>E. 3</w:t>
      </w:r>
    </w:p>
    <w:p>
      <w:r>
        <w:t>3.1.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que le tribunal ait fixé (au moins de manière théorique) les peines (hypothétiques) de tous les délits (ATF 144 IV 217 consid. 3.5.3).</w:t>
      </w:r>
    </w:p>
    <w:p>
      <w:r>
        <w:rPr>
          <w:b/>
        </w:rPr>
        <w:t>E. 3.3</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donc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142 IV 265 consid. 2.3.2 et 2.4.4-2.4.6; ATF 145 IV 1 consid. 1.3). Si, en revanche, l'art. 49 al. 2 CP ne peut être appliqué, ainsi parce que le genre de peine envisagé pour sanctionner les infractions antérieures au jugement diffère de celui de la sanction déjà prononcée, le juge doit retenir une peine cumulative (ATF 145 IV 1 consid. 1.3).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w:t>
      </w:r>
    </w:p>
    <w:p>
      <w:r>
        <w:rPr>
          <w:b/>
        </w:rPr>
        <w:t>E. 3.4</w:t>
      </w:r>
    </w:p>
    <w:p>
      <w:r>
        <w:t>Selon l'art. 42 al. 1 CP, le juge suspend en règle générale l'exécution, notamment, d'une peine privative de liberté de deux ans au plus lorsqu'une peine ferme ne paraît pas nécessaire pour détourner l'auteur d’autres crimes ou délits. Dans le cas des peines privatives de liberté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arrêts du Tribunal fédéral 6B_1339/2016 du 23 mars 2017 consid. 1.1.1).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En cas de concours rétrospectif, la durée déterminante pour l'octroi du sursis ou du sursis partiel est celle résultant de l'addition de la peine de base ( Grundstrafe ) et de la peine complémentaire ( Zusatzstrafe ). Ainsi, lorsque la peine complémentaire et la peine de base additionnées dépassent la limite légale pour l’octroi du sursis, celui-ci ne peut pas être accordé, quand bien la peine complémentaire prononcée par le tribunal considérée pourrait, par sa quotité, être assortie du sursis (ATF 147 IV 108 consid. 3.5.2 p. 121 ; 145 IV 377 c. 2.2 p. 379/380 ; 142 IV 265 consid. 2.4.6 p. 273).</w:t>
      </w:r>
    </w:p>
    <w:p>
      <w:r>
        <w:rPr>
          <w:b/>
        </w:rPr>
        <w:t>E. 3.4.1</w:t>
      </w:r>
    </w:p>
    <w:p>
      <w:r>
        <w:t>En l’espèce, la faute de l’appelant est importante. Il a commis un vol avec deux comparses en gare de Lausanne, s’appropriant le butin sans égard pour le préjudice causé à la victime. Il a agi par pur appât du gain ; sa situation précaire en Suisse – pays dans lequel il n’a aucun droit de séjour, faisant l’objet d’une décision de renvoi vers l’Autriche – n’excuse en rien son comportement. Il a par ailleurs persisté à séjourner illégalement en Suisse, après avoir déjà fait l’objet d’une condamnation pour des faits semblables. Le 31 décembre 2020, l’appelant a tenté de blesser gravement un compatriote, à la suite d’une altercation pour des motifs qui n’ont pas pu être élucidés mais qui ne justifiaient en aucun cas un tel déchaînement de violence et ne peuvent qu’être futiles et sans proportion avec le dommage causé. Il a agi dans le dessein manifeste de défigurer sa victime, en lui portant un coup de couteau au visage ; la qualification de tentative retenue par la Cour n’est pas liée à une quelconque diminution de l’intensité de l’acte commis, mais bien à des circonstances extérieures sur lesquelles l’appelant n’avait aucune prise, en lien avec les soins potentiellement reçus par la victime. Son mobile, autant qu’il est discernable au vu du flou entourant encore les faits, ne peut être qu’égoïste, relevant de l’emportement et du manque de maîtrise de soi, au détriment de l’intégrité physique d’autrui. Sa situation personnelle ne peut justifier de tels actes. Sa collaboration est médiocre, l’appelant s’entêtant à présenter une version aseptisée des faits dans laquelle il se pose en victime. Il a pris partiellement conscience de la gravité de ses actes, admettant le caractère injustifié des lésions subies par la victime, sans toutefois assumer sa responsabilité ; dans cette mesure, les regrets exprimés sont bien maigres puisqu’il persiste à faire porter le blâme essentiellement à la victime. L’appelant n’a aucune perspective d’intégration ni d’avenir en Suisse, où il vivait d’expédients avant son incarcération, en recourant à la charité et à des structures d’accueil pour personnes en situation précaire. Manifestement, il n’est pas en mesure de s’acquitter d’une peine pécuniaire et n’a d’ailleurs pas contesté le prononcé à son encontre d’une peine privative de liberté lors de sa première condamnation en décembre 2020. Il encourt également une telle peine pour l’ensemble des faits de la présente cause, seule une telle sanction étant susceptible de le dissuader de récidiver.</w:t>
      </w:r>
    </w:p>
    <w:p>
      <w:r>
        <w:rPr>
          <w:b/>
        </w:rPr>
        <w:t>E. 3.4.2</w:t>
      </w:r>
    </w:p>
    <w:p>
      <w:r>
        <w:t>Le vol du 6 décembre 2020 a été commis avant la condamnation du 22 décembre suivant. Conformément à la jurisprudence relative au concours rétrospectif partiel, ces faits doivent faire l’objet d’une peine complémentaire indépendante. A cet égard, il est vraisemblable que si le MP avait été amené à traiter l’ensemble de ces faits il aurait, comme pour les deux comparses de l’appelant, saisi une juridiction de jugement et ne se serait plus limité à la peine privative de liberté de six mois qui constitue le maximum de la peine pouvant être prononcée par une ordonnance pénale. En tenant compte des peines prononcées à l’encontre des deux comparses mais aussi du fait que l’aggravante de la bande n’a pas été retenue à l’encontre de l’appelant, la Cour retient que la peine de six mois aurait été portée à sept mois pour tenir compte de ce vol supplémentaire. La peine additionnelle est donc d’un mois.</w:t>
      </w:r>
    </w:p>
    <w:p>
      <w:r>
        <w:rPr>
          <w:b/>
        </w:rPr>
        <w:t>E. 3.4.3</w:t>
      </w:r>
    </w:p>
    <w:p>
      <w:r>
        <w:t>En ce qui concerne les faits postérieurs à la condamnation du 22 décembre 2020, la tentative de lésions corporelles graves est l’infraction objectivement et subjectivement la plus grave. La violence de l’appelant, qui n’a pas hésité à frapper sa victime à deux reprises, dont une fois dans l’intention de la défigurer, sans toutefois parvenir à ses fins, appelle une peine privative de liberté sévère de l’ordre de 24 à 30 mois, qui devrait encore être aggravée pour tenir compte du séjour illégal, afin de fixer la peine indépendante à laquelle additionner la peine complémentaire d’un mois. Toutefois, la peine de 24 mois prononcée par les premiers juges ne peut pas être aggravée en vertu du principe de l’interdiction de la reformatio in peius (art. 391 al. 2 CPP). La peine pour le séjour illégal doit donc être arrêtée à zéro.</w:t>
      </w:r>
    </w:p>
    <w:p>
      <w:r>
        <w:rPr>
          <w:b/>
        </w:rPr>
        <w:t>E. 3.4.4</w:t>
      </w:r>
    </w:p>
    <w:p>
      <w:r>
        <w:t>La peine hypothétique totale encourue par l’appelant, composée de la peine de 24 mois présentement ordonnée et de celle prononcée le 22 décembre 2020, fait obstacle à l’octroi du sursis complet. En revanche, elle est encore compatible avec un sursis partiel, qui sera dès lors prononcé. En effet, nonobstant une récidive très rapide, l’appelant remplit les conditions d’une telle mesure, n’ayant pas fait l’objet d’une condamnation à une peine de plus de six mois et un pronostic favorable pouvant encore être posé. Pour tenir compte de la gravité des faits reprochés, la partie ferme de la peine sera arrêtée à douze mois et le sursis accordé pour le solde assorti d’un délai d’épreuve de quatre ans, durée de nature à dissuader l’appelant – qui fait l’objet d’une expulsion ( infra ) – de porter à nouveau atteinte à l’ordre juridique suisse, sous peine de s’exposer à la révocation de la peine restante. Le jugement entrepris sera donc également réformé sur ce point. La peine prononcée étant supérieure à la détention subie, l’appelant sera débouté de ses conclusions en indemnisation.</w:t>
      </w:r>
    </w:p>
    <w:p>
      <w:r>
        <w:rPr>
          <w:b/>
        </w:rPr>
        <w:t>E. 4.1</w:t>
      </w:r>
    </w:p>
    <w:p>
      <w:r>
        <w:t>Si le juge prononce une expulsion, il doit, s'agissant de ressortissants d'États tiers, obligatoirement aussi décider si l'expulsion doit être signalée dans le SIS. L'art. 24, par. 2, point a, du Règlement-SIS-II n'exige pas une condamnation à une peine privative de liberté d'au moins un an, pas plus que la disposition n'exige une condamnation pour une infraction passible d'une peine privative de liberté minimale d'un an. Toutefois, à titre d'exigence cumulative, il faut toujours examiner si la personne concernée représente une menace pour la sécurité publique ou l'ordre public (art. 24, par. 2, Règlement-SIS-II). Les exigences pour l'acceptation d'une telle menace ne sont pas trop élevées. Il n'est pas nécessaire que le comportement de la personne concernée constitue une menace réelle, actuelle et suffisamment grave affectant un intérêt fondamental de la société ; l'hypothèse d'une menace pour la sécurité ou l'ordre publics doit être soumise à des exigences moins élevées pour les ressortissants de pays tiers sans droit à la libre circulation que pour les personnes bénéficiant du droit à la libre circulation. L’adjectif « grave » a été sciemment supprimé en regard de la menace prévue à l’art. 24 de ce règlement, étant donné que les contrôles aux frontières de l’espace SCHENGEN doivent contribuer à la prévention de toute menace pour l'ordre public (ATF 147 IV 340 consid. 4.4-4.8).</w:t>
      </w:r>
    </w:p>
    <w:p>
      <w:r>
        <w:rPr>
          <w:b/>
        </w:rPr>
        <w:t>E. 4.2</w:t>
      </w:r>
    </w:p>
    <w:p>
      <w:r>
        <w:t>En l’espèce, l’appelant ne conteste à raison pas la mesure d’expulsion prononcée à son encontre (cf. art. 66a al. 1 let. b CP), se prévalant de liens avec la France pour s’opposer à l’extension de cette mesure à l’ensemble de l’espace Schengen. Le comportement de l’appelant, qui a commis un vol (s’ajoutant à plusieurs autres infractions contre le patrimoine sanctionnées dans le cadre d’une procédure antérieure) et surtout une atteinte grave à l’intégrité physique, représente une menace évidente au sens de l'art. 24, par. 2, point a, du Règlement-SIS-II. L’octroi du sursis partiel n’implique pas de nier l’existence d’une telle menace. Les liens allégués de l’appelant avec la France, pays dans lequel il ne dispose d’aucun droit de séjour ni d’aucune perspective concrète, ne sont pas démontrés et ne suffisent pas à écarter cette menace. Quant à la perspective d’un renvoi en Autriche, que l’appelant évoquait pour faire obstacle à cette inscription, sans toutefois reprendre cet argument à l’audience, rien ne permet de retenir que ce pays refusera de respecter ses obligations découlant justement des accords de Schengen-Dublin et admises avant les faits de la présente cause. Au surplus, l’inscription n’interviendra qu’à l’entrée en force de la présente décision, et ne devrait donc pas faire obstacle à un renvoi en Autriche à la libération de l’appelant, laquelle interviendra à la date du présent arrêt.</w:t>
      </w:r>
    </w:p>
    <w:p>
      <w:r>
        <w:rPr>
          <w:b/>
        </w:rPr>
        <w:t>E. 5</w:t>
      </w:r>
    </w:p>
    <w:p>
      <w:r>
        <w:t>5.1.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Bien que régi par les art. 122 ss CPP, le procès civil dans le procès pénal demeure soumis à la maxime des débats et à la maxime de disposition.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du Tribunal fédéral 6B_1298/2018 du 20 février 2019 consid. 2.1 ; 6B_1422/2017 du 5 juin 2018 consid. 3.1; 6B_43/2012 du 27 août 2012 consid. 1.1). Selon l'art. 404 al. 1 CPP, la juridiction d'appel n'examine que les points attaqués du jugement de première instance. Elle revoit ces points avec un plein pouvoir d'examen (art. 398 al. 2 CPP), sans être liée par les motifs invoqués par les parties ni par leurs conclusions (sauf en matière civile; art. 391 al. 1 CPP). Elle peut revoir les points qui ne sont pas contestés, seulement si leur modification s'impose à la suite de l'admission de l'appel ou de l'appel joint (ATF 144 IV 383 consid. 1.1 ; arrêt du Tribunal fédéral 1B_201/2021 du 20 août 2021 c. 2.1). En l’espèce, l’appelant n’a pas expressément contesté, dans sa déclaration d’appel, les conclusions civiles de la partie plaignante. Toutefois, sa conclusion principale en acquittement implique le déboutement du plaignant de ses conclusions civiles, ce qui implique, dans la mesure de l’admission partielle de ses conclusions, d’examiner les conclusions civiles de l’intimé.</w:t>
      </w:r>
    </w:p>
    <w:p>
      <w:r>
        <w:rPr>
          <w:b/>
        </w:rPr>
        <w:t>E. 5.2</w:t>
      </w:r>
    </w:p>
    <w:p>
      <w:r>
        <w:t>En vertu de l'art. 47 de la loi fédérale complétant le Code civil suisse (CO), le juge peut, en tenant compte de circonstances particulières, allouer à la victime de lésions corporelles une indemnité équitable à titre de réparation morale. Cette indemnité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 2ème éd., 2011, p. 385 ; LANDOLT, op. cit. , n. 21 ss ad art. 47 CO). Le Tribunal fédéral admet qu’il soit procédé au calcul de l’indemnité de base en se fondant par analogie sur les dispositions d’application de la loi fédérale sur l'assurance-accidents (LAA) relatives aux atteintes à l’intégrité et en appliquant la proportion ainsi déterminée au montant maximal du salaire assuré selon cette législation, soit CHF 148’200.- (art. 22 de l’ordonnance sur l'assurance-accidents [OLAA] ; cf. BERGER, Die Genugtuung und ihre Bestimmung , in WEBER/MÜNCH [édit.], Haftung und Versicherung, 2 ème éd. 2015, n 11.41 p. 512). Une indemnité pour atteinte à l’intégrité n’est due qu’en cas d’atteinte durable, soit lorsqu’il est prévisible qu’elle subsistera avec au moins la même gravité pendant toute la vie. Elle est réputée importante lorsque l’intégrité physique, mentale ou psychique subit, indépendamment de la diminution de la capacité de gain, une altération évidente ou grave (cf. art. 24 al. 1 LAA et 36 al. 1 OLAA).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w:t>
      </w:r>
    </w:p>
    <w:p>
      <w:r>
        <w:rPr>
          <w:b/>
        </w:rPr>
        <w:t>E. 5.3</w:t>
      </w:r>
    </w:p>
    <w:p>
      <w:r>
        <w:t>L'éventuelle faute concomitante de la victime peut conduire à une réduction de l'indemnité ; cela suppose cependant que le comportement reproché au lésé soit en rapport de causalité naturelle et adéquate avec la survenance du préjudice (ATF 130 III 591 consid. 5.3 ; 126 III 192 consid. 2d).</w:t>
      </w:r>
    </w:p>
    <w:p>
      <w:r>
        <w:rPr>
          <w:b/>
        </w:rPr>
        <w:t>E. 5.4</w:t>
      </w:r>
    </w:p>
    <w:p>
      <w:r>
        <w:t>Il n'y a en principe pas lieu de prendre en considération les frais d'entretien au domicile de l'ayant droit lors de la fixation de l'indemnité pour tort moral. L'indemnité doit ainsi être fixée sans égard au lieu de vie de l'ayant droit et à ce qu'il va faire de l'argent obtenu. Toutefois, dans la mesure où le bénéficiaire domicilié à l'étranger serait exagérément avantagé en raison des conditions économiques et sociales existantes à son lieu de domicile, il convient d'adapter l'indemnité vers le bas (ATF 125 II 554 consid. 4a p. 559 ; ATF 123 III 10 consid. 4 p. 11 ss).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Une réduction de l'indemnité pour tort moral est exclue lorsque le bénéficiaire entretient des relations particulières avec la Suisse, par exemple lorsqu'il y travaille, y vit ou lorsqu'il peut y séjourner en tant que proche du lésé (ATF 123 III 10 consid. 4c/bb p. 14). Certaines circonstances, comme la possibilité que l'intéressé puisse un jour essayer de trouver une formation en Suisse, ne suffisent en revanche pas pour exclure une réduction de l'indemnité. Elles doivent toutefois être prises en considération dans le calcul de la réduction à intervenir (ATF 125 II 554 consid. 3b p. 558). Statuant selon les règles du droit et de l'équité (art. 4 CC), le juge dispose d'un large pouvoir d'appréciation. Le Tribunal fédéral a admis une réduction, non schématique, de l'indemnité pour tort moral versée notamment en matière d’indemnisation des victimes d’infractions, lorsque les frais d'entretien au domicile de l'intéressé sont beaucoup plus bas. Ainsi, dans son arrêt ATF 125 II 554 consid. 4a p. 559, concernant des ressortissants de Voïvodine, où le coût de la vie est 18 fois inférieur à la Suisse, la réduction a été fixée à la moitié. Par la suite, dans un arrêt 1A_299/2000 du 30 mai 2001 consid. 5c concernant la Bosnie Herzégovine, où le coût de la vie est six à sept fois inférieur à la Suisse, la Haute Cour a considéré qu’une réduction de l'indemnité de 75%, certes élevée, demeurait néanmoins dans les limites du pouvoir d'appréciation de la cour cantonale. Concernant un ressortissant algérien, dans un arrêt 6B_242/2019 du 18 mars 2019 consid. 2.2 et 2.3a au sujet de l’indemnité pour tort moral en cas de détention injustifiée, compte tenu d’un coût de la vie environ 20 fois moins élevé qu'en Suisse, la Haute Cour a admis une réduction du montant journalier de 200.- à CHF 70.- soit une réduction de 65%.</w:t>
      </w:r>
    </w:p>
    <w:p>
      <w:r>
        <w:rPr>
          <w:b/>
        </w:rPr>
        <w:t>E. 5.5</w:t>
      </w:r>
    </w:p>
    <w:p>
      <w:r>
        <w:t>En l’espèce, compte tenu du verdict prononcé, le principe d’une indemnisation est acquis à la partie plaignante, qui a subi une lésion au visage. On ignore toutefois si elle souffre encore des conséquences de cette agression ; l’analogie avec les indemnités pour atteinte à l’intégrité au sens de l’OLAA ne peut donc pas être utilisée, faute d’avoir démontré l’existence d’une atteinte importante. Aucune faute concomitante ne peut lui être reprochée. En effet, même si la Cour retient que les lésions ont été portées dans un contexte de bagarre, il n’est pas dans le cours ordinaire des choses de subir une cicatrice importante infligée par un coup de couteau au visage dans le contexte d’une bagarre au corps à corps. Compte tenu des éléments médicaux figurant au dossier et en l’absence d’expertise et de toute actualisation, aucune lésion irréversible n’est établie. L’indemnité doit être déterminée en tenant compte de la très brève prise en charge médicale de la partie plaignante et de sa situation personnelle de ressortissant algérien, non admis à séjourner en Suisse et renvoyé du pays. Il n’y a dès lors pas lieu de lui accorder un montant disproportionné en fonction du coût de la vie dans son pays, ce qui reviendrait à l’avantager indûment par rapport à un lésé résidant durablement et de façon stable en Suisse. L’indemnité doit dès lors être fixée à CHF 3'000.-, somme qui apparaît adéquate compte tenu du caractère non permanent de la lésion et de l’absence de traumatisme durable, aucun élément contraire n’ayant été apporté par la partie plaignante qui supporte le fardeau de la preuve sur ce point. L’appel sera donc partiellement admis sur ce point.</w:t>
      </w:r>
    </w:p>
    <w:p>
      <w:r>
        <w:rPr>
          <w:b/>
        </w:rPr>
        <w:t>E. 6</w:t>
      </w:r>
    </w:p>
    <w:p>
      <w:r>
        <w:t>6.1. À teneur de l'art. 429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431 al. 2 CPP vise spécifiquement l'indemnisation de la détention injustifiée en raison de sa durée, qualifiée d'excessive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w:t>
      </w:r>
    </w:p>
    <w:p>
      <w:r>
        <w:rPr>
          <w:b/>
        </w:rPr>
        <w:t>E. 6.2</w:t>
      </w:r>
    </w:p>
    <w:p>
      <w:r>
        <w:t>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 cf. arrêt du Tribunal fédéral 6B_389/2018 du 6 septembre 2018 c. 1.2 sur l’imputation sur une peine prononcée avec sursis).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p. 239 ; arrêt du Tribunal fédéral 6B_431/2015 du 24 mars 2016 c. 2.2). Tel est le cas lorsque le nombre de jours de détention dépasse celui des jours-amende prononcés (arrêt du Tribunal fédéral 6B_558/2013 du 13 décembre 2013 consid. 1.6 in fine ). L'intéressé n'a pas le droit de choisir entre ces deux voies (arrêt du Tribunal fédéral 6B_84/2014 du 13 août 2014 consid. 5.1). L'art. 51 CP doit être appliqué d'office, l'imputation étant obligatoire et inconditionnelle (arrêt du Tribunal fédéral 6B_1033/2018 c. 2.4).</w:t>
      </w:r>
    </w:p>
    <w:p>
      <w:r>
        <w:rPr>
          <w:b/>
        </w:rPr>
        <w:t>E. 6.3</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(ATF 146 IV 231 consid. 2.3.1 ; 143 IV 339 consid 3.1). Lorsque la victime a subi des atteintes pendant une période prolongée, les intérêts sur l'indemnité courent, en général, à partir d'une date moyenne (ATF 129 IV 149 consid. 4.3 ; arrêt du Tribunal fédéral 6B_123/2020 du 26 novembre 2020 consid. 10.6).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Lorsque la détention injustifiée s'étend sur une longue période, une augmentation linéaire du montant accordé n'est pas adaptée, car le fait de l'arrestation et de la détention pèse d'un poids en tout cas aussi important que l'élément de durée pour apprécier l'atteinte que subit la personne incarcérée (ATF 143 IV 339 consid. 3.1 ; 113 Ib 155 consid. 3b ; arrêt du Tribunal fédéral 6B_984/2018 du 4 avril 2019 consid. 5.1). Le taux journalier n'est qu'un critère qui permet de déterminer un ordre de grandeur pour le tort moral. Il convient ensuite de corriger ce montant compte tenu des particularités du cas. Lorsque la durée de détention est de plusieurs mois, il convient en règle générale de réduire le montant journalier de l'indemnité (ATF 143 IV 339 consid. 3.1 ; arrêts du Tribunal fédéral 6B_744/2020 du 26 octobre 2020 consid. 5 ; 6B_242/2019 du 18 mars 2019 consid. 2 ; 6B_909/2015 du 22 juin 2016 consid. 2.2.1 ; 6B_111/2012 du 15 mai 2012 consid. 4.2). Les considérations évoquées ci-dessus (consid. 5.4) en lien avec la situation du bénéficiaire domicilié à l'étranger s’appliquent à l’indemnité fondée sur les art. 429 et 431 CPP. Dans l'arrêt 6B_242/2019 précité, le Tribunal fédéral a confirmé l’indemnisation par CHF 70.-/jour d’un prévenu algérien qui séjournait illégalement en Suisse, n’avait ni revenu ni charges et était frappé d’une mesure d’expulsion judiciaire. Il a été admis que, comme retenu par l’autorité cantonale, il était approprié d’estimer le montant de l’indemnité par référence au PIB de l’Algérie, vingt fois inférieur à celui de la Suisse, dès lors que le prévenu devait être expulsé dès l’entrée en force de l’arrêt.</w:t>
      </w:r>
    </w:p>
    <w:p>
      <w:r>
        <w:rPr>
          <w:b/>
        </w:rPr>
        <w:t>E. 6.4</w:t>
      </w:r>
    </w:p>
    <w:p>
      <w:r>
        <w:t>En l’espèce, l'appelant-joint a effectué 309 jours de détention jusqu'à sa remise en liberté le 4 novembre 2021. Dans la mesure où il n’a pas été intégralement acquitté mais a au contraire été condamné à une peine privative de liberté de 90 jours, pour certaines des infractions retenues par le MP dans son acte d’accusation, il a subi une détention excessive de 219 jours. Conformément à l’art. 51 CP et à la jurisprudence évoquée ci-dessus, c’est à raison que les premiers juges ont déduit en priorité cette détention excessive des peines prononcées par le MP les 13 et 15 décembre 2020, pour un total de 117 jours, ainsi que sur l’amende prononcée à raison de deux jours. Le fait que cette imputation réduise la portée préventive de ces condamnations antérieures n’y change rien. Dans cette mesure, l’appel joint doit être rejeté.</w:t>
      </w:r>
    </w:p>
    <w:p>
      <w:r>
        <w:rPr>
          <w:b/>
        </w:rPr>
        <w:t>E. 6.5</w:t>
      </w:r>
    </w:p>
    <w:p>
      <w:r>
        <w:t>La détention excessive qui subsiste, soit une période de 100 jours, doit être indemnisée conformément à l'art. 431 al. 2 CPP. L'appelant-joint est ressortissant algérien et ne dispose d’aucun titre de séjour en Suisse, où il a résidé illégalement et a été condamné à deux reprises pour infraction à la LEI. Ainsi, il est dans l'obligation de quitter le territoire suisse, où il ne prétend d’ailleurs pas être resté après sa mise en liberté. Il ne dispose d’aucun droit de séjour dans un autre pays, ses liens allégués avec la France n’étant nullement établis et n’équivalant, en tout état de cause, pas à un titre de séjour dans ce pays. Il faut dès lors arrêter le montant de l’indemnisation en fonction de sa nationalité algérienne, seul pays dans lequel il dispose d’un droit de séjour et de perspectives d’avenir. Ainsi, le montant de référence doit être arrêté à CHF 70.- par jour (cf. arrêt du Tribunal fédéral 6B_242/2019 du 18 mars 2019 ; AARP/118/2021 consid. 3.3). L'appelant-joint a été arrêté et incarcéré à bon droit, puisqu'il a été reconnu coupable de séjour illégal et de non-respect d'une interdiction de pénétrer dans une région déterminée. Son indemnisation ne doit dès lors pas compenser l'arrestation et le choc de la détention. Il est de plus en situation illégale depuis son arrivée en Suisse, sans emploi et sans projet concret, de sorte que cette incarcération n'a eu aucune répercussion durable sur sa vie sociale et professionnelle (cf. arrêt du Tribunal fédéral 6B_909/2015 précité consid. 2.2.2). Il se justifie en conséquence de réduire ce montant de référence, prévu pour l'indemnisation d'une journée de détention illicite, de moitié. Aussi, une indemnisation en CHF 35.- par jour pour les 100 jours de détention subis à tort lui sera-t-elle allouée, soit CHF 3'500.-. Ce montant portera intérêt au taux de 5% dès le 30 mars 2021 (date à laquelle il aurait dû être libéré). L’appel du MP est ainsi admis au-delà de ses conclusions, qui ne lient toutefois pas la Cour de céans (art. 391 al. 1 let. b CPP), qui peut statuer au détriment du prévenu dans la mesure où elle est saisie d’un appel du MP (art. 391 al. 2 CPP e contrario ).</w:t>
      </w:r>
    </w:p>
    <w:p>
      <w:r>
        <w:rPr>
          <w:b/>
        </w:rPr>
        <w:t>E. 7</w:t>
      </w:r>
    </w:p>
    <w:p>
      <w:r>
        <w:t>L'appel principal de A______ ayant été partiellement admis, celui-ci supportera une part réduite des frais d’appel, arrêtée à un tiers de ceux-ci (art. 428 CPP). L'appel principal du MP ayant été admis, l’intimé D______, qui succombe également dans son appel joint, supportera un quart des frais de la procédure envers l'État (art. 428 CPP), dans la mesure où cette partie de l’appel a engendré des frais de procédure moindres. Un émolument de décision de CHF 1'500.- sera perçu. Le solde des frais de la procédure sera laissé à la charge de l’Etat. Il n’y a pas lieu de revenir sur la répartition des frais de la procédure préliminaire et de première instance puisque le verdict de culpabilité et la quotité de la peine sont intégralement confirmés et que les premiers juges n’ont perçu aucun émolument supplémentaire pour la motivation du jugement.</w:t>
      </w:r>
    </w:p>
    <w:p>
      <w:r>
        <w:rPr>
          <w:b/>
        </w:rPr>
        <w:t>E. 8</w:t>
      </w:r>
    </w:p>
    <w:p>
      <w:r>
        <w:t>8.1.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8.4.1. En l'occurrence, le temps consacré à la prise de connaissance du jugement entrepris et la rédaction de la déclaration d’appel (qui n’a pas à être motivée) ne sera pas pris en compte dans l’état de frais de M e C______, avocate d’office de A______, cette activité entrant dans l’indemnisation forfaitaire. Par ailleurs, le dossier de la cause comprend en tout et pour tout un classeur d’instruction de moins de 300 pages, et un classeur comprenant les pièces de forme ; il était connu du conseil de l’appelant, désignée comme défenseure dès l’arrestation et qui avait participé à l’instruction au MP tout comme aux débats de première instance. Ainsi, le temps consacré à l’étude du dossier, puis à la préparation des débats d’appel, sera ramené à six heures, afin de tenir compte des pièces nouvelles versées par la Cour. En conclusion, la rémunération sera arrêtée à CHF 3'396.70 correspondant à 13 heures et dix minutes d'activité au tarif de CHF 200.-/heure plus la majoration forfaitaire de 10 %, l’activité exercée totalisant plus de 30 heures, les frais d’interprète (CHF 400.-) et un forfait de déplacement pour l’audience (CHF 100.-). 8.4.2. En l'occurrence, le temps consacré à la rédaction de la déclaration d’appel joint ne sera pas pris en compte dans l’état de frais de M e E______, avocat d’office de D______, cette activité entrant dans l’indemnisation forfaitaire. En conclusion, la rémunération sera arrêtée à CHF 1’224.20 correspondant à cinq heures et dix minutes d'activité au tarif de CHF 200.-/heure plus la majoration forfaitaire de 10 % et la TVA en CHF 87.50. 8.4.3. Considéré globalement, l'état de frais produit par M e H______, conseil juridique gratuit de G______, satisfait les exigences légales et jurisprudentielles régissant l'assistance judiciaire gratuite en matière pénale. La rémunération sera partant arrêtée à CHF 480.- correspondant à deux heures d'activité au tarif de CHF 200.-/heure plus la majoration forfaitaire de 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