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P/15938/2012 vom 24. November 2015</w:t>
      </w:r>
    </w:p>
    <w:p>
      <w:r>
        <w:t>GE Cour de justice, 2015-11-24, FR</w:t>
      </w:r>
    </w:p>
    <w:p>
      <w:r>
        <w:rPr>
          <w:b/>
        </w:rPr>
        <w:t xml:space="preserve">Quelle: </w:t>
      </w:r>
      <w:r>
        <w:t>https://mcp.opencaselaw.ch/entscheid/ge_gerichte_P_15938_2012</w:t>
      </w:r>
    </w:p>
    <w:p>
      <w:r>
        <w:t>FR: GE_GERICHTE P/15938/2012 du 24 novembre 2015</w:t>
      </w:r>
    </w:p>
    <w:p>
      <w:r>
        <w:t>IT: GE_GERICHTE P/15938/2012 del 24 novembre 2015</w:t>
      </w:r>
    </w:p>
    <w:p>
      <w:pPr>
        <w:pStyle w:val="Heading2"/>
      </w:pPr>
      <w:r>
        <w:t>Regeste</w:t>
      </w:r>
    </w:p>
    <w:p>
      <w:r>
        <w:t>VIOLATION DE DOMICILE; ÉTAT DE NÉCESSITÉ; PEINE COMPLÉMENTAIRE | CP.186; CP.17; CP.49.2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 Il y a intrusion illicite aussitôt que l'auteur pénètre dans un local sans l'autorisation de celui qui a le pouvoir d'en disposer (ATF 108 IV 33 consid. 5c ; arrêt du Tribunal fédéral 6B_95/2010 du 17 mai 2010 consid. 1.2). La seconde hypothèse vise le cas où l'auteur se trouve déjà dans les lieux et qu'il n'y a pas pénétré contre la volonté de l'ayant droit. L'infraction est alors commise lorsque l'auteur ne quitte pas les lieux, malgré l'ordre intimé en ce sens par l'ayant droit (B. CORBOZ, Les infractions en droit suisse , volume I, 3 e édition, Berne 2010, n. 21 ad art. 186). Selon la jurisprudence, la notion de domicile doit être comprise de manière large et vise non seulement les habitations au sens commun, mais également les fabriques, les centres commerciaux et les bâtiments administratifs (ATF 108 IV 33 consid. 5a p. 39), étant précisé que dès que l'espace est clos, il n'est pas nécessaire qu'il soit verrouillé (ATF 90 IV 74 consid. 2a). L'art. 186 CP protège également un bâtiment vide (ATF 118 IV 167 consid. 3). La loi cite aussi les espaces, cours ou jardins clos et attenants à une maison. Il s'agit-là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(V.DELNON/B.RÜDY, Basler Kommentar Strafrecht II, 3ème éd., Bâle 2013, n° 19 ad art. 186 CP). L'infraction est consommée dès que l'auteur s'introduit dans le domaine clos sans l'autorisation de celui qui a le pouvoir d'en disposer (ATF 128 IV 81 consid. 4a p. 85 ; 108 IV 33 consid. 5b p. 39). L'auteur doit encore agir de manière illicite. L'illicéité de l'acte implique que l'auteur s'oppose à la volonté de l'ayant droit. Elle fait défaut lorsque ce dernier donne son accord ou si l'auteur est au bénéfice d'un motif justificatif (ATF 83 IV 154 consid. 1 p. 157).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 CORBOZ, op. cit ., n° 45 ss ad art. 186 CP). 2.1.2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133 IV 222 consid. 5.3 p. 226 et les arrêts cités).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2.1.3 Selon l'art. 17 CP, quiconque commet un acte punissable pour préserver d'un danger imminent et impossible à détourner autrement un bien juridique lui appartenant ou appartenant à un tiers agit de manière licite s'il sauvegarde ainsi des intérêts prépondérants. Le nouveau droit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(arrêt du Tribunal fédéral 6B_720/2007 du 29 mars 2008 consid. 5.1.1.). La subsidiarité est absolue et constitue par conséquent une condition à laquelle aucune exception ne peut être faite. Ainsi, celui qui est en mesure de s'adresser aux autorités pour parer au danger ne saurait se prévaloir de l'état de nécessité (ATF 125 IV 49 consid. 2 c p. 55 s. ; arrêt du Tribunal fédéral 6B_628/2008 du 13 janvier 2009 consid. 3.1). Lorsque l'auteur, en raison d'une représentation erronée des faits, se croit en situation de danger, alors qu'objectivement le danger n'existe pas, il agit en état de nécessité putative. Déterminer ce que l'auteur d'une infraction a su, cru, voulu ou accepté et, en particulier, l'existence d'une erreur relève de l'établissement des faits (ATF 125 IV 49 consid. 2d p. 56). 2.2.1 En l'espèce, les appelants ne peuvent être suivis lorsqu'ils soutiennent que la devanture sous laquelle ils se sont établis ne constitue pas un domicile, puisque les photographies versées au dossier font état d'une construction en béton surmontée d'un avant toit au bout duquel est fixé un lourd grillage métallique lui-même arrimé au sol et dont l'accès se fait par une porte. Ce réduit entre indubitablement dans la notion large de domicile établie par la jurisprudence. Le fait que le local était vide et que la porte était ouverte n'est pas plus relevant puisqu'il n'est pas nécessaire que l'espace soit occupé ou verrouillé pour que l'infraction soit réalisée. 2.2.2 Les appelants ne sont pas plus crédibles lorsqu'ils invoquent ne jamais avoir eu la conscience et la volonté de commettre une infraction, puisque lors de l'audience de jugement B______ a déclaré avoir eu un doute sur le fait de savoir s'ils pouvaient pénétrer dans le local ou non, alors que D______ a admis ne pas avoir considéré être autorisé à se trouver en ces lieux de la même façon que si c'était sa maison. A______ quant à elle a reconnu que la présence d'un grillage avait une signification. Au demeurant, celle-ci et B______ aveint déclaré devant la police qu'ils ne seraient peut-être pas entrés s'ils avaient su que l'espace était privé. Le premier juge souligne à juste titre, que les appelants avaient l'habitude de dormir dans la rue, de sorte qu'il parait difficilement concevable, qu'ils n'aient pas reconnu l'espace comme étant privé. D'ailleurs, il ressort du dossier qu'à leur arrivée les intéressés avaient constaté que la serrure avait était forcée, ce qui aurait dû attirer leur attention sur le fait que le local était interdit au public, d'autant plus, que les appelants ont fait état d'un second réduit identique, fermé, à proximité immédiate des lieux. Au vu de ce qui précède, il est indéniable que les appelants ont au moins envisagé ne pas avoir le droit de s'installer en ce lieu mais se sont accommodés de cette situation, n'ayant entrepris au préalable aucune démarche auprès de l'ayant droit. 2.2.3 L'argument avancé par les intéressés selon lequel ils se seraient trouvés en état de nécessité en raison des conditions climatiques particulièrement défavorables, de l'absence d'hébergement alternatif et du fait qu'une femme enceinte les accompagnait doit également être écarté. Aucun élément du dossier ne démontre que les intéressés aient tenté d'obtenir une aide auprès des autorités, des services sociaux ou d'une association caritative quelconque. Une telle démarche leur aurait permis de trouver un hébergement décent, notamment dans les locaux de l'Armée du Salut, de telle façon que la condition de subsidiarité absolue n'est pas remplie. 2.2.4 Par conséquent, c'est à raison que le premier juge a reconnu les appelants coupables, à tout le moins par dol éventuel, de violation de domicile au sens de l'art. 186 CP.</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 La fixation d'une peine d'ensemble n'est pas possible en cas de sanctions de genre différent. Ainsi, il est exclu de prononcer une peine privative de liberté, à titre de peine complémentaire, à une peine pécuniaire ordonnée précédemment (ATF 137 IV 57 consid. 4.3). 3.1.3 Au terme de l'art. 42 ch.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3.1.4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 consid. 4.2.1 p. 5 ; arrêt du Tribunal fédéral 6B_1044/2013 du 4 mars 2014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 3.2.1 Le principe de l'individualisation de la peine (art. 47 CP) commanderait de traiter la situation de chaque appelant séparément, toutefois celle-ci étant identique à maints égards, une analyse globale peut être effectuée sans violer le dit principe. La faute des appelants n'est pas anodine puisqu'ils sont demeurés plusieurs jours dans un local privé sans y avoir été autorisés au préalable par l'ayant droit. La situation personnelle particulièrement précaire des appelants doit être prise en compte dans une certaine mesure. Il reste que leur choix d'être venus à Genève, dans des conditions qu'ils savaient défavorables, pour y vivre d'expédients les plaçait dans une situation où la commission d'infraction était une quasi-certitude. La collaboration des appelants à la procédure a été moyenne, bien qu'ils aient admis la matérialité des faits, ce qu'ils pouvaient difficilement contester ayant été interpellés sur les lieux de l'infraction. Ils ont en revanche nié, tout au long de la procédure, avoir eu la conscience et la volonté de commettre une infraction, malgré les éléments contraires du dossier. 3.2.2 Il y a lieu de distinguer les appelants selon leurs antécédents judiciaires 3.2.2.1 A______ a été condamnée en mars 2013, à une peine pécuniaire de 30 jours-amende à CHF 30.- l'unité pour violation de domicile, puis en mai 2014, à une peine privative de liberté ferme de 30 jours pour vol, de sorte qu'il convient de prononcer une peine complémentaire à sa condamnation de mars 2013, la seconde n'étant pas du même genre. Au regard de l'ensemble de ces éléments, la peine fixée par le tribunal de première instance de 10 jours-amende est adéquate et correspond à la faute. Il en va de même pour la quotité de CHF 10.- eu égard à la situation personnelle. L'appelante a été condamnée trois fois dont deux pour violation de domicile. Vu ces antécédents mauvais et spécifiques, le du sursis ne peut lui-être accordé. 3.2.2.2 B______ a été condamné à deux reprises après les faits, la première fois, en septembre 2013, à une peine pécuniaire avec sursis puis la seconde, en juin 2014, à huit mois, fermes, de peine privative de liberté. Il y a donc lieu de prononcer également une peine complémentaire à sa première condamnation. La peine de de 10 jours-amende assortie du sursis fixée par le premier juge est proportionnée à la faute. La quotité fixée à CHF 10.- tient également compte de la situation personnelle de l'appelant. 3.2.2.3 E______ a aussi été condamnée, depuis les faits, à deux peines pécuniaires dont une avec sursis. Il convient donc de prononcer une peine complémentaire. La peine de 10 jours-amende avec sursis prononcée par le tribunal de première instance est adéquate et correspond à la faute de l'appelante de la même manière que la quotité arrêtée à CHF 10.- correspond à sa situation personnelle. 3.2.2.4 F______ à quant à lui été condamné en janvier 2015 à une peine pécuniaire avec sursis pour séjour illégal. La peine est donc aussi complémentaire. Le premier juge en prononçant une peine de 10 jours-amende assortie du sursis, a tenu compte de façon adéquate de la faute de l'appelant. La quotité fixée à CHF 10.-est adaptée à la situation personnelle. 3.2.2.5 C______ et D______ n'ont aucun antécédent de sorte que la peine pécuniaire de 20 jours-amendes avec sursis fixée par le premier juge apparait exagérée. Elle sera ramenée à 10 jours-amende, la quotité fixée à CHF 10.- pouvant rester inchangée.</w:t>
      </w:r>
    </w:p>
    <w:p>
      <w:r>
        <w:rPr>
          <w:b/>
        </w:rPr>
        <w:t>E. 4</w:t>
      </w:r>
    </w:p>
    <w:p>
      <w:r>
        <w:t>Vu l'issue de la procédure, les prétentions en indemnisation formulées par les appelants sont infondées et doivent être rejetées (art. 429 CPP).</w:t>
      </w:r>
    </w:p>
    <w:p>
      <w:r>
        <w:rPr>
          <w:b/>
        </w:rPr>
        <w:t>E. 5.1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1 ère phrase). La partie plaignante obtient gain de cause au sens de l'art. 433 al. 1 CPP lorsque le prévenu est condamné et/ou si les prétentions civiles sont admises (M. NIGGLI / M. HEER / H. WIPRÄCHTIGER, op. cit., n. 6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w:t>
      </w:r>
    </w:p>
    <w:p>
      <w:r>
        <w:rPr>
          <w:b/>
        </w:rPr>
        <w:t>E. 5.2</w:t>
      </w:r>
    </w:p>
    <w:p>
      <w:r>
        <w:t>En l'espèce, la partie plaignante a obtenu gain de cause vu le verdict de culpabilité, de sorte que le principe d'une indemnisation de ses frais de défense lui est acquis. Toutefois, la note d'honoraires présentée par le conseil de la partie plaignante évoquant quatre heures d'activité déployée en appel pour l'étude du dossier et la rédaction du mémoire à un taux horaire de CHF 500.- est excessive. Le dossier ne présentant aucune difficulté particulière, et a été traité directement par un associé expérimenté. Deux heures d'activité auraient pu lui suffire pour faire valoir le point de vue de la partie plaignante, de sorte que l'indemnité sera arrêtée à 1'080.- TVA incluse.</w:t>
      </w:r>
    </w:p>
    <w:p>
      <w:r>
        <w:rPr>
          <w:b/>
        </w:rPr>
        <w:t>E. 6</w:t>
      </w:r>
    </w:p>
    <w:p>
      <w:r>
        <w:t>A______, B______, E______ et F______, qui succombent intégralement, et les appelants C______ et D______, qui succombent en majeure partie, supporteront respectivement 1/6 et 1/12 des frais de la procédure d'appel qui comprennent un émolument de CHF 1'000.- (art. 428).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