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P/15913/2017 vom 15. Februar 2019</w:t>
      </w:r>
    </w:p>
    <w:p>
      <w:r>
        <w:t>GE Cour de justice, 2019-02-15, FR</w:t>
      </w:r>
    </w:p>
    <w:p>
      <w:r>
        <w:rPr>
          <w:b/>
        </w:rPr>
        <w:t xml:space="preserve">Quelle: </w:t>
      </w:r>
      <w:r>
        <w:t>https://mcp.opencaselaw.ch/entscheid/ge_gerichte_P_15913_2017</w:t>
      </w:r>
    </w:p>
    <w:p>
      <w:r>
        <w:t>FR: GE_GERICHTE P/15913/2017 du 15 février 2019</w:t>
      </w:r>
    </w:p>
    <w:p>
      <w:r>
        <w:t>IT: GE_GERICHTE P/15913/2017 del 15 febbraio 2019</w:t>
      </w:r>
    </w:p>
    <w:p>
      <w:pPr>
        <w:pStyle w:val="Heading2"/>
      </w:pPr>
      <w:r>
        <w:t>Regeste</w:t>
      </w:r>
    </w:p>
    <w:p>
      <w:r>
        <w:t>LÉSION CORPORELLE SIMPLE ; VOIES DE FAIT ; MENACE(DROIT PÉNAL) ; ASSISTANCE DE PROBATION | CP.123; CP.126; CP.180; CP.44</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w:t>
      </w:r>
    </w:p>
    <w:p>
      <w:r>
        <w:t>2.1. La présomption d'innocence, garantie par les art. 10 CPP, 32 al. 1 de la Constitution fédérale de la Confédération suisse du 18 avril 1999 (Cst. ; RS 101) et 6 ch. 2 de la Convention de sauvegarde des droits de l'homme et des libertés fondamentales du 4 novembre 1950 (CEDH ; RS 0.101),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et non de doutes abstraits ou théoriques, qui sont toujours possibles (ATF 143 IV 500 consid. 1.1 ; 138 V 74 consid. 7 p. 82 ; 127 I 38 consid. 2a p. 41 ; 124 IV 86 consid. 2a p. 87ss ; arrêt du Tribunal fédéral 6B_1015/2016 du 27 octobre 2017 consid. 4.1). Le juge du fait dispose d’un large pouvoir dans l’appréciation des preuves (ATF 120 Ia 31 consid. 4b p. 40).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6B_107/2013 du 15 mai 2013 consid. 1.1 et 6B_642/2012 du 22 janvier 2013 consid. 1.1). 2.2.1. L'art. 123 CP sanctionne celui qui fait subir à une personne une atteinte à l'intégrité corporelle ou à la santé qui ne peut être qualifiée de grave au sens de l'art. 122 CP.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Une atteinte psychique peut suffire à la réalisation de l'infraction, pour autant qu'elle revête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p. 192 ; arrêt du Tribunal fédéral 6B_1204/2017 du 17 mai 2018 consid. 3.1). Les voies de fait, réprimées par l'art. 126 CP, se définissent comme des atteintes physiques qui excèdent ce qui est socialement toléré et qui ne génèrent ni lésions corporelles, ni dommage à la santé. Une telle atteinte peut exister même si elle n'a causé aucune douleur physique (ATF 134 IV 189 consid. 1.2 et l'arrêt cité).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une douleur à la mâchoire sans contusion, une gifle, un coup de poing ou de pied et de fortes bourrades avec les mains ou les coudes (arrêt du Tribunal fédéral 6B_525/2011 du 7 février 2012 consid. 4.1). En revanche, un coup de poing au visage donné avec une violence brutale propre à provoquer d'importantes meurtrissures, voire une fracture de la mâchoire, des dents ou de l'os nasal, a été qualifié de lésion corporelle; il en a été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et l'arrêt cité). Dans les cas limites, il faut tenir compte de l'importance de la douleur provoquée, afin de déterminer s'il s'agit de lésions corporelles simples ou de voies de fait (arrêt du Tribunal fédéral 6B_590/2014 du 12 mars 2015 consid. 1.2). 2.2.2. La poursuite a lieu d'office, s'agissant de l'infraction de lésions corporelles simples, si l'auteur est le conjoint de la victime et que l'atteinte a été commise durant le mariage (art. 123 ch. 2 CP) et, en ce qui concerne les voies de fait, lorsque l'auteur a agi a réitérées reprises contre son conjoint durant le mariage (art. 126 al. 2 let. b CP), ce qui est le cas lorsque les voies de fait sont commises plusieurs fois sur la même victime et dénotent une certaine habitude (ATF 134 IV 189 consid. 1.2 p. 191). 2.2.3. En l'espèce, l'intimée a affirmé que son époux la battait régulièrement et a décrit à la police, de manière circonstanciée, divers épisodes durant lesquels l'appelant l'avait frappée. Les enfants du couple ont confirmé ces déclarations, ajoutant être souvent confrontés aux violences subies par leur mère depuis des années. Dans un tel contexte, les dénégations de l'appelant sont peu crédibles, dès lors que l'on ne voit pas quels motifs pourraient pousser l'intimée à mentir – alors que ce n'est pas elle qui a pris l'initiative d'alerter la police et qu'elle n'a, partant, pas eu le temps de préparer son audition – et qu'aucun indice ne permet de penser que E______ ou D______ seraient manipulés. A cela s'ajoute que l'existence des trois épisodes de violence plus précisément évoqués par l'intimée – au retour d'une soirée passée dans la communauté serbe, en janvier 2016 et en janvier 2017 – a été confirmée par l'appelant lui-même, quand bien même il a minimisé son rôle dans l'éclatement et le déroulement de ceux-ci, en les imputant à des provocations de son épouse. Les éléments figurant au dossier sont ainsi suffisants, quand bien même l'appelant ne les aurait pas reconnus devant le MP, pour retenir qu'en janvier 2016 – la date mentionnée par le premier juge dans ses considérants provenant manifestement d'une erreur de plume, la description des faits retenus correspondant à celle figurant dans l'acte d'accusation –, il a bel et bien assené des coups de poing à l'intimée au niveau des bras. Rien n'indique toutefois que ces coups auraient laissés de quelconques marques sur le corps de l'intimée, tels des hématomes. L'on ne saurait par ailleurs déduire de façon hypothétique que ces coups ont été d'une force suffisante pour provoquer des lésions physiques ou des souffrances psychiques d'une certaine durée et d'une certaine importance, qui permettraient de retenir une infraction à l'art. 123 CP plutôt qu'à l'art. 126 CP. Il s'ensuit que le jugement entrepris sera confirmé, s'agissant de la condamnation de l'appelant pour voies de fait, dont la poursuite d'office doit être admise, au vu de la réitération, tel que retenue ci-dessus, de violences subies par l'intimée. 2.3.1. L'art. 180 al. 1 CP punit celui qui, par une menace grave, aura alarmé ou effrayé une personne. Par menace, il faut entendre que l'auteur, par ses paroles ou son comportement, fait volontairement redouter à la victime la survenance d'un préjudice au sens large (ATF 122 IV 97 consid. 2b p. 100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p. 215 s., voir aussi arrêt 6B_435/2011 du 6 octobre 2011 consid. 3.1). Les menaces de lésions corporelles graves ou de mort doivent être considérées comme des menaces graves au sens de l'art. 180 CP (arrêts du Tribunal fédéral 6B_787/2018 du 1 er octobre 2018 consid. 3.1 ; 6B_1428/2016 du 3 octobre 2017 consid. 2.1 et la référence citée). Pour que l'infraction soit consommée, il faut par ailleurs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p. 215). L'infraction est intentionnelle, le dol éventuel étant suffisant (arrêts du Tribunal fédéral 6B_578/2016 du 19 août 2016 consid. 2.1 ; 6B_871/2014 du 24 août 2015 consid. 2.2.2 ; 6B_820/2011 du 5 mars 2012 consid. 3). Il n'est pas nécessaire que l'auteur ait réellement la volonté de réaliser sa menace (ATF 105 IV 120 consid. 2a p. 122). 2.3.2. L'appelant a admis avoir menacé de mort son épouse le 6 août 2017, ce qui est constitutif d'une menace grave au sens de la loi. Il estime toutefois que l'intimée le connaissait suffisamment bien pour ne pas en être effrayée, ce d'autant plus qu'il n'était pas proche d'elle à ce moment-là, s'étant éloigné en direction du salon. L'état d'effroi dans lequel la police a retrouvé sa famille – y compris l'intimée – suffit à décrédibiliser cette thèse. C'est en effet précisément en raison de ces menaces, renforcées par le fait qu'il avait peu auparavant saisi un couteau de cuisine, que D______ a appelé la police, démontrant que ses proches pensaient l'appelant capable, dans sa colère, de mettre ses menaces à exécution. Sur le plan subjectif, l'appelant ne pouvait pas ne pas se rendre compte de l'effet que ses propos étaient susceptibles d'avoir. Il l'a d'ailleurs reconnu, en indiquant que la dispute était assez forte et que les membres de sa famille avaient pu se sentir menacés. Ainsi, à l'instar du premier juge, il convient de retenir que l'intimée a été effectivement alarmée par les propos de l'appelant. Le jugement entrepris sera donc confirmé sur ce point également.</w:t>
      </w:r>
    </w:p>
    <w:p>
      <w:r>
        <w:rPr>
          <w:b/>
        </w:rPr>
        <w:t>E. 3</w:t>
      </w:r>
    </w:p>
    <w:p>
      <w:r>
        <w:t>3.1. L'infraction de menaces est passible d'une peine privative de liberté de trois ans au plus ou d'une peine pécuniaire, alors que les voies de fait sont punies d'une amende et que l'art. 177 al. 1 CP, qui réprime les injures, prévoit une peine pécuniaire de 90 jours-amende au plus.</w:t>
      </w:r>
    </w:p>
    <w:p>
      <w:r>
        <w:rPr>
          <w:b/>
        </w:rPr>
        <w:t>E. 3.2</w:t>
      </w:r>
    </w:p>
    <w:p>
      <w:r>
        <w:t>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et les référence citées).</w:t>
      </w:r>
    </w:p>
    <w:p>
      <w:r>
        <w:rPr>
          <w:b/>
        </w:rPr>
        <w:t>E. 3.3</w:t>
      </w:r>
    </w:p>
    <w:p>
      <w:r>
        <w:t>Si, en raison de plusieurs actes, l'auteur remplit les conditions de plusieurs peines de même genre, le juge le condamne à la peine de l'infraction la plus grave et l'augmente dans une juste proportion (art. 49 al. 1 CP).</w:t>
      </w:r>
    </w:p>
    <w:p>
      <w:r>
        <w:rPr>
          <w:b/>
        </w:rPr>
        <w:t>E. 3.4</w:t>
      </w:r>
    </w:p>
    <w:p>
      <w:r>
        <w:t>Selon l'art. 34 al. 1 aCP, applicable à l'appelant dans la mesure où il lui est plus favorable que le nouveau droit des sanctions entré en vigueur le 1 er janvier 2018 (art. 2 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 Le montant du jour-amende ne peut toutefois pas être inférieur à CHF 10.– (ATF 135 IV 180 consid. 1.4.2 p. 185).</w:t>
      </w:r>
    </w:p>
    <w:p>
      <w:r>
        <w:rPr>
          <w:b/>
        </w:rPr>
        <w:t>E. 3.5</w:t>
      </w:r>
    </w:p>
    <w:p>
      <w:r>
        <w:t>En l'occurrence, la faute de l'appelant n'est pas légère, ce d'autant moins que les agissements pour lesquels sa culpabilité est établie n'apparaissent pas isolés mais s'insèrent dans un contexte de violences conjugales perdurant depuis un certain nombre d'années. Sa prise de conscience est faible, pour ne pas dire inexistante, ainsi qu'en témoignent, outre ses dénégations, sa propension à minimiser son rôle (" c'était pour rigoler ", sa femme l'avait provoqué et il avait agi pour se défendre). Comme l'a relevé le premier juge, sa situation personnelle ne permet pas d'expliquer ses actes. Il y a concours d'infractions. Le MP, qui a requis une augmentation de la peine au cas où la qualification de lésions corporelles serait retenue, ne remet pas en cause l'adéquation de la peine prononcée avec les critères énoncés ci-dessus et les circonstances du cas d'espèce. L'appelant n'a, lui non plus, pas émis de critique particulière, s'agissant du genre de peine et du nombre des jours-amendes qui lui ont été infligés, dans l'hypothèse où ses arguments seraient écartés. Dans la mesure où la peine pécuniaire de 90 jours-amendes apparaît adéquate et conforme aux critères de l'art. 47 CP, elle sera confirmée. Il en ira de même de la quotité du jour-amende, fixée à CHF 20.- qui paraît adaptée à la situation financière actuelle de l'appelant, le MP n'invoquant pas d'éléments particuliers qui justifieraient de l'augmenter à CHF 60.-. Le sursis est acquis à l'appelant et le délai d'épreuve fixé à trois ans est adéquat, compte tenu de son absence de prise de conscience.</w:t>
      </w:r>
    </w:p>
    <w:p>
      <w:r>
        <w:rPr>
          <w:b/>
        </w:rPr>
        <w:t>E. 4</w:t>
      </w:r>
    </w:p>
    <w:p>
      <w:r>
        <w:t>4.1. En application de l'art. 44 al. 2 CP, le juge peut ordonner une assistance de probation et imposer des règles de conduite pour la durée du délai d'épreuve. La loi prévoit expressément que la règle de conduite peut porter sur des soins médicaux ou psychologiques (art. 94 CP), sans qu'il soit nécessaire que le condamné souffre d'un grave trouble mental, soit toxicomane dépendant ou souffre d'une autre addiction (arrêt du Tribunal fédéral 6B_1339/2016 du 23 mars 2017 consid. 1.1.2 et les références citées).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arrêt du Tribunal fédéral 6B_626/2008 du 11 novembre 2008 consid. 6.1).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w:t>
      </w:r>
    </w:p>
    <w:p>
      <w:r>
        <w:rPr>
          <w:b/>
        </w:rPr>
        <w:t>E. 4.2</w:t>
      </w:r>
    </w:p>
    <w:p>
      <w:r>
        <w:t>Dans le cas présent, l'appelant s'oppose au prononcé d'une règle de conduite, qu'il estime inutile. Certes, il s'est scrupuleusement plié aux mesures de substitution qui lui avaient été imposées et, selon le SPI, s'est montré régulier dans son suivi psychothérapeutique et a noué des rapports constructifs avec ce service. Il semble par ailleurs avoir fortement réduit sa consommation d'alcool et vit séparé de son épouse, dont il n'a plus tenté de s'approcher. Ces éléments positifs ne permettent toutefois pas de considérer que tout risque de récidive est écarté. Les regrets exprimés devant le SPI n'ont en effet pas été réitérés de manière claire dans le cadre de la présente procédure, l'appelant ayant plutôt eu tendance à minimiser la gravité de ses actes ou à les banaliser. S'agissant d'un fonctionnement qui a perduré pendant des années sans qu'il n'y voie le moindre problème – ses propres réactions étant imputées au comportement prétendument inadéquat de son épouse – il paraît peu probable que l'appelant se soit remis en cause, en l'espace de cinq mois, d'une manière telle que tout danger de le voir adopter le même comportement envers la gente féminine soit exclu. Rien ne permet en tout cas de l'affirmer. L'appelant ne prétend pour le surplus pas que la règle de conduite imposée par le premier juge et son suivi par le SPI lui imposeraient des sacrifices excessifs et ne respecteraient pas le principe de la proportionnalité. Son appel sera par conséquent rejeté sur ce point.</w:t>
      </w:r>
    </w:p>
    <w:p>
      <w:r>
        <w:rPr>
          <w:b/>
        </w:rPr>
        <w:t>E. 5</w:t>
      </w:r>
    </w:p>
    <w:p>
      <w:r>
        <w:t>Faute d'acquittement des infractions de voies de fait et de menaces, l'indemnité pour tort moral allouée à l'intimée, qui répond aux conditions de l'art. 49 al. 1 CO et dont le montant n'est au demeurant pas contesté, sera confirmée.</w:t>
      </w:r>
    </w:p>
    <w:p>
      <w:r>
        <w:rPr>
          <w:b/>
        </w:rPr>
        <w:t>E. 6</w:t>
      </w:r>
    </w:p>
    <w:p>
      <w:r>
        <w:t>L'appelant et l'appelant joint, qui tous deux succombent, seront condamnés à raison de la moitié chacun aux frais de la procédure d'appel, comprenant un émolument de CHF 2'000.- (art. 428 al. 1 CP), ce qui exclut de modifier la répartition des frais fixée par le premier juge et de faire droit aux prétentions en indemnité de l'appelant (art. 429 al. 1 CPP ; ATF 6B_472/2018 du 22 août 2018 consid. 1.2).</w:t>
      </w:r>
    </w:p>
    <w:p>
      <w:r>
        <w:rPr>
          <w:b/>
        </w:rPr>
        <w:t>E. 7</w:t>
      </w:r>
    </w:p>
    <w:p>
      <w:r>
        <w:t>7.1. Conformément à l'art. 433 al. 1 CPP, l'intimée, partie plaignante, peut demander au prévenu une juste indemnité pour les dépenses obligatoires occasionnées par la procédure, si elle obtient gain de cause (let. a) et que la prévenu est astreint au paiement des frais conformément à l'art. 426 al. 2 CPP (let. b). La partie plaignante obtient gain de cause au sens de cette disposition si ses prétentions civiles sont admises et/ou que le prévenu est condamné (ATF 139 IV 102 consid. 4.3 p. 108).</w:t>
      </w:r>
    </w:p>
    <w:p>
      <w:r>
        <w:rPr>
          <w:b/>
        </w:rPr>
        <w:t>E. 7.2</w:t>
      </w:r>
    </w:p>
    <w:p>
      <w:r>
        <w:t>La juste indemnité, notion qui laisse un large pouvoir d'appréciation au juge, couvre les dépenses et les frais nécessaires pour faire valoir le point de vue de la partie plaignante dans la procédure pénale (arrêts du Tribunal fédéral 6B_549/2015 du 16 mars 2016 consid. 2.3 ; 6B_495/2014 du 6 octobre 2014 consid. 2.1 ; 6B_965/2013 du 3 décembre 2013 consid. 3.1.1 ; A. KUHN / Y. JEANNERET (éds), Commentaire romand : Code de procédure pénale suisse , Bâle 2011, n. 8 ad art. 433 ; N. SCHMID, Schweizerische Strafprozessordnung : Praxiskommentar , 2ème éd., Zurich 2013, n. 3 ad art. 433).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7.3</w:t>
      </w:r>
    </w:p>
    <w:p>
      <w:r>
        <w:t>En l'occurrence, l'intimée prétend à une indemnité de CHF 861.60 pour l'activité déployée par son avocate dans la procédure d'appel. Le montant articulé apparaît adéquat, dans sa globalité, eu égard au tarif horaire compris entre CHF 400.- et CHF 450.- admis par la CPAR pour un chef d'étude (cf. AARP/412/2018 du 20 décembre 2018). Cette prétention sera par conséquent admise et mise à la charge de l'appelant principal.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