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P/158/2014 vom 7. April 2017</w:t>
      </w:r>
    </w:p>
    <w:p>
      <w:r>
        <w:t>GE Cour de justice, 2017-04-07, FR</w:t>
      </w:r>
    </w:p>
    <w:p>
      <w:r>
        <w:rPr>
          <w:b/>
        </w:rPr>
        <w:t xml:space="preserve">Quelle: </w:t>
      </w:r>
      <w:r>
        <w:t>https://mcp.opencaselaw.ch/entscheid/ge_gerichte_P_158_2014</w:t>
      </w:r>
    </w:p>
    <w:p>
      <w:r>
        <w:t>FR: GE_GERICHTE P/158/2014 du 7 avril 2017</w:t>
      </w:r>
    </w:p>
    <w:p>
      <w:r>
        <w:t>IT: GE_GERICHTE P/158/2014 del 7 aprile 2017</w:t>
      </w:r>
    </w:p>
    <w:p>
      <w:pPr>
        <w:pStyle w:val="Heading2"/>
      </w:pPr>
      <w:r>
        <w:t>Regeste</w:t>
      </w:r>
    </w:p>
    <w:p>
      <w:r>
        <w:t>DIFFAMATION ; TORT MORAL ; PROFESSION ; DÉPENS ; FRAIS DE LA PROCÉDURE | CP.173.1; CO.49; CPP.433.1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L'appelante ne saurait être suivie lorsqu'elle soutient avoir été acquittée pour les injures proférées, le premier juge ayant considéré, à tort ou à raison, que cette infraction ne concourait pas avec celle de diffamation, mais était absorbée par celle-ci.</w:t>
      </w:r>
    </w:p>
    <w:p>
      <w:r>
        <w:rPr>
          <w:b/>
        </w:rPr>
        <w:t>E. 3.1</w:t>
      </w:r>
    </w:p>
    <w:p>
      <w:r>
        <w:t>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130 III 699 consid. 5.1 p. 704 s., 129 IV 22 consid. 7.2 p. 36 et les références citées ; arrêts du Tribunal fédéral 6B_267/2016 , 6B_268/2016 , 6B_269/2016 du 15 février 2017 consid. 8.1).</w:t>
      </w:r>
    </w:p>
    <w:p>
      <w:r>
        <w:rPr>
          <w:b/>
        </w:rPr>
        <w:t>E. 3.2</w:t>
      </w:r>
    </w:p>
    <w:p>
      <w:r>
        <w:t>En l'espèce, sur le plan objectif, les seuls propos tenus pour diffamatoires n'apparaissent pas d'une gravité suffisante pour justifier à eux seuls l'octroi d'une indemnité pour tort moral dans la mesure où ils portent avant tout atteinte à l'honneur professionnel ou socio-professionnel de l'intimé, qui n'est protégé que de manière relative par la loi, un employeur devant souffrir la critique. Cela est d'autant plus vrai que les faits dénoncés n'étaient pas inexacts en tant que tels et que l'appelante a affirmé, sans être contredite, qu'ils étaient connus du milieu du théâtre concerné, soit des personnes susceptibles d'avoir reconnu la personne visée par l'écrit litigieux. Les injures sont par contre virulentes et propres à exposer l'intimé au mépris et à l'humilier, ce qui vaut tout particulièrement pour l'emploi des termes " alcoolique au dernier stade ". La propagation par voie de presse de tels propos attentatoires à l'honneur est clairement de nature à aggraver l'atteinte portée à la personnalité de l'intimé et même si les médias se sont vraisemblablement emparés de l'affaire suite à la publication du texte sur la page la page Facebook de "G______", l'appelante ne peut s'exonérer de toute responsabilité à cet égard, étant à l'origine des écrits diffusés. Cela étant, on ignore tout du contenu des articles de presse en question et notamment s'ils se sont ou non fait l'écho des propos injurieux tenus par l'appelante, ce que rien ne permet de présumer, les médias se gardant généralement de diffuser de tels termes, en l'absence de tout intérêt public à le faire, mais aussi pour éviter de s'exposer eux-mêmes à une poursuite pénale. L'intimé n'a, par ailleurs, évoqué aucun fait précis à l'appui de sa demande de réparation morale, se bornant à faire état de commentaires reçus d'acteurs et de spectateurs, au sujet desquels on ne sait rien. S'il a certes déclaré ressentir de la souffrance psychique suite aux faits, il n'a pas spécifié ceux qui l'auraient plus particulièrement heurté, ni si et en quoi ils auraient affecté sa réputation professionnelle ou encore sa vie privée. Il n'existe en définitive pas assez d'éléments pour justifier l'octroi d'une indemnité pour tort moral, d'autant qu'on peut admettre que la reconnaissance de culpabilité de l'appelante et les excuses qu'elle a présentées constituent aussi une forme de réparation. L'appel sera admis sur ce point et le jugement réformé dans cette mesure.</w:t>
      </w:r>
    </w:p>
    <w:p>
      <w:r>
        <w:rPr>
          <w:b/>
        </w:rPr>
        <w:t>E. 4</w:t>
      </w:r>
    </w:p>
    <w:p>
      <w:r>
        <w:t>4.1.1.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(A. KUHN / Y. JEANNERET (éds), Commentaire romand : Code de procédure pénale suisse , Bâle 2011, n. 2 et 3 ad art. 433, et les références citées). 4.1.2.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6B_864/2015 du 1 er novembre 2016 consid. 3.2 et le références citées ; A. KUHN / Y. JEANNERET (éds), op. cit., n. 8 ad art. 433 ; N. SCHMID, op. cit. , n. 3 ad art. 433). En particulier, les démarches doivent apparaître nécessaires et adéquates pour la défense du point de vue de la partie plaignante raisonnable (arrêt du Tribunal fédéral 6B_864/2015 du 1 er novembre 2016 consid. 3.2 et les références citées). Sous l'angle de l'art. 429 al. 1 let. a CPP comme sous celui de l'art. 433 al. 1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l'occurrence, l'intimé a obtenu gain de cause en tant que l'appelante a été reconnue coupable de diffamation et d'injures, même si les secondes sont absorbées par la première infraction. Il a en revanche succombé sur ses prétentions civiles et les honoraires d'avocat s'y rapportant n'ont par conséquent pas à être mis à la charge de l'appelante, même si leur quotité peut être jugée modeste, cette dernière n'ayant, de son côté, pas sollicité d'indemnité au sens de l'art. 432 al. 1 CPP pour les avoir combattue en première instance. Par ailleurs, les enquêtes ont porté en partie sur l'accusation qui était faite à l'intimé d'avoir omis de payer les vacances de ses acteurs, pour laquelle l'appelante a été libérée des fins de la poursuite. Les avocats des deux parties apparaissent avoir consacré une part importante de leur activité à ce volet de l'affaire, étant rappelé que les injures étaient admises et, comme relevé par l'appelante, évidentes, et que le premier juge leur avait fait savoir qu'il considérait que le "blacklistage" d'un acteur n'était pas attentatoire à l'honneur de la partie plaignante et que l'audition de la comédienne qui avait été licenciée alors qu'elle était enceinte, était, avec le jugement prud'homal, suffisants pour statuer sur l'autre point litigieux. Enfin, si les tarifs horaires pratiqués par le conseil de l'intimé ne sont pas critiquables, il est en revanche vrai que le relevé d'activité du 4 juin 2015 n'est pas assez détaillé pour permettre d'apprécier l'adéquation du temps consacré aux diverses prestations facturées. En outre, l'activité subséquente, évaluée à 5 heures, hors durée de l'audience du 20 novembre 2015, apparaît élevée dans la mesure où la note précitée comportait déjà la préparation d'une plaidoirie portant sur le fond de l'affaire. Par comparaison, on peut d'ailleurs relever que pour l'ensemble de la procédure préliminaire et de première instance, cet avocat a facturé 6 heures de plus que son confrère, alors que la défense d'un prévenu nécessite généralement davantage de temps que celle d'une partie plaignante. Compte tenu de l'ensemble de ces éléments, la CPAR arrêtera en équité à CHF 6'000.- la participation de l'appelante aux honoraires d'avocat de l'intimé pour la première instance. Il n'y a pas lieu de réduire cette participation à un quart comme le sollicite l'appelante, puisque, outre le fait qu'elle succombe sur le verdict de culpabilité, le premier juge a renoncé à lui faire supporter une part plus importante des frais en application de l'art. 425 CPP seulement afin que cela ne constitue pas une sanction supplémentaire. Il n'y a pas lieu d'allouer à l'intimé une indemnité pour ses frais d'avocat en appel, puisque, outre le fait qu'ils ne sont pas chiffrés, l'intéressé succombe pour l'essentiel en seconde instance.</w:t>
      </w:r>
    </w:p>
    <w:p>
      <w:r>
        <w:rPr>
          <w:b/>
        </w:rPr>
        <w:t>E. 5</w:t>
      </w:r>
    </w:p>
    <w:p>
      <w:r>
        <w:t>L'appelante, obtenant gain de cause tant sur l'indemnité pour tort moral que sur le principe d'une réduction de sa participation aux honoraires d'avocat de l'intimé, supportera le tiers des frais de la procédure d'appel, le solde étant mis à la charge de ce dernier (art. 428 al. 1 CPP), étant rappelé que le Ministère public s'en est rapporté à justice, n'ayant pas vocation à se prononcer sur les prétentions civiles. La répartition des frais de première de première instance n'a pas à être modifiée (art. 428 al. 3 CPP), mais l'émolument de jugement complémentaire sera laissé à la charge de l'Etat.</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6.1.2. Selon l'art. 135 al. 1 CPP, le défenseur d'office est indemnisé conformément au tarif des avocats de la Confédération ou du canton du for du procès, le règlement sur l'assistance juridique du 28 juillet 2010 (RAJ ; E 2 05.04) s'appliquant à Genève. L'assistance juridique est en règle générale octroyée avec effet au jour du dépôt de la requête (art. 5 al. 1 RAJ ; ACPR/360/2015 du 30 juin 2015 consid. 3.1), sous réserve de démarches urgentes entreprises peu de temps avant (ATF 122 I 203 consid. 2f p. 208/209). L'activité antérieure à la prise d'effet ou, au plus tard, à la nomination de l'avocat, n'est pas prise en charge par l'assistance juridique ( AARP/379/2013 du 20 août 2013 ; AARP/437/2013 du 23 septembre 2013 ; AARP/465/2013 du 8 octobre 2013 ; AARP/546/2013 du 13 novembre 2013). En vertu de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6.2</w:t>
      </w:r>
    </w:p>
    <w:p>
      <w:r>
        <w:t>Si l'on excepte l'activité déployée avant sa nomination, qui n'a pas à être indemnisée par l'assistance juridique, et celle consacrée à la rédaction de la déclaration d'appel (60 minutes), prestation comprise dans la majoration forfaitaire pour l'activité diverse, l'état de frais produit par le défenseur d'office de l'appelante, considéré dans sa globalité, parait adéquat et conforme aux principes applicables en la matière. L'indemnité due à M e B______ sera ainsi fixée à CHF 2'073.60, correspondant à 7 heures et 40 minutes d'activité, arrondies à 8 heures pour tenir compte de la brève réplique, au tarif de CHF 200.-/heure (CHF 1'600.-), plus le forfait de 20 % (CHF 320.-) et l'équivalent de la TVA au taux de 8% (CHF 153.60).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