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P/15890/2021 vom 8. November 2023</w:t>
      </w:r>
    </w:p>
    <w:p>
      <w:r>
        <w:t>GE Cour de justice, 2023-11-08, FR</w:t>
      </w:r>
    </w:p>
    <w:p>
      <w:r>
        <w:rPr>
          <w:b/>
        </w:rPr>
        <w:t xml:space="preserve">Quelle: </w:t>
      </w:r>
      <w:r>
        <w:t>https://mcp.opencaselaw.ch/entscheid/ge_gerichte_P_15890_2021</w:t>
      </w:r>
    </w:p>
    <w:p>
      <w:r>
        <w:t>FR: GE_GERICHTE P/15890/2021 du 8 novembre 2023</w:t>
      </w:r>
    </w:p>
    <w:p>
      <w:r>
        <w:t>IT: GE_GERICHTE P/15890/2021 del 8 novembre 2023</w:t>
      </w:r>
    </w:p>
    <w:p>
      <w:pPr>
        <w:pStyle w:val="Heading2"/>
      </w:pPr>
      <w:r>
        <w:t>Regeste</w:t>
      </w:r>
    </w:p>
    <w:p>
      <w:r>
        <w:t>CONSOMMATION DE STUPÉFIANTS;SÉJOUR ILLÉGAL | LStup.19a.ch1; LEI.115.al1.letb</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 illégale ou inéquitable (art. 404 al. 2 CPP).</w:t>
      </w:r>
    </w:p>
    <w:p>
      <w:r>
        <w:rPr>
          <w:b/>
        </w:rPr>
        <w:t>E. 2</w:t>
      </w:r>
    </w:p>
    <w:p>
      <w:r>
        <w:t>2.1.1. Le principe in dubio pro reo , qui découle de la présomption d'innocence, garantie par l'art. 6 ch. 2 CEDH et, sur le plan interne, par les art. 32 al. 1 Cst. et art.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(ATF 148 IV 409 consid. 2.2). 2.1.2. L'art. 6 ch.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constitue une preuve essentielle (ATF 131 I 476 consid. 2.2).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ch. 3 let. d CEDH a été respecté doit donc être examinée dans chaque cas en fonction de l'ensemble de la procédure et des circonstances concrètes (Arrêt du Tribunal fédéral 6B_721/2020 du 11 février 2021 consid. 3.3.1). La Cour européenne des droits de l'Homme a rappelé que le caractère "déterminant" des déclarations d'un témoin doit être appréhendé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 plus elle sera importante, moins la déposition du témoin absent sera susceptible d'être considérée comme déterminante (Arrêt CEDH Al-Khawaja et Tahery c. Royaume-Uni du 15 décembre 2011 ; arrêt du Tribunal fédéral 6B_809/2013 du 14 novembre 2013). 2.1.3. A teneur de l'art. 19 al. 1 let. d LStup, est puni d’une peine privative de liberté de trois ans au plus ou d’une peine pécuniaire celui qui, sans droit, possède, détient ou acquiert des stupéfiants ou s’en procure de toute autre manière. Quiconque, sans droit, consomme intentionnellement des stupéfiants ou commet une infraction à l’art. 19 pour assurer sa propre consommation est passible d’une amende (art. 19 a ch. 1 LStup). 2.1.4. A teneur de l'art. 115 al. 1 let. b LEI, est puni d’une peine privative de liberté d’un an au plus ou d’une peine pécuniaire quiconque séjourne illégalement en Suisse, notamment après l’expiration de la durée du séjour non soumis à autorisation ou du séjour autorisé. L'art. 115 al. 1 let. b LEI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145 IV 449 consid. 1.1 ; 135 IV 6 consid. 3.2).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 449 consid. 1.1 ; 135 IV 6 consid. 4.2 ; arrêt du Tribunal fédéral 6B_95/2023 du 12 juillet 2023 consid. 1.1). L'art. 115 al. 1 let. b LEI doit être interprété conformément à la jurisprudence de l'Union européenne en rapport avec la Directive du Parlement européen et du Conseil du 16 décembre 2008 relative aux normes et procédures communes applicables dans les États membres au retour des ressortissants de pays tiers en séjour irrégulier (Directive sur le retour 2008/115/CE ; ATF 147 IV 232 consid. 1.2 ; 143 IV 249 consid. 1.8.1). Ainsi, une peine privative de liberté pour séjour illégal ne peut être infligée que si les autorités administratives ont entrepris toutes les mesures raisonnables pour l'exécution de la décision de retour, mais que la procédure y relative a échoué en raison du comportement de l'intéressé. Le prononcé d'une peine pécuniaire n'est en revanche pas incompatible avec la Directive sur le retour, pour autant qu'elle n'entrave pas la procédure d'éloignement. Une telle sanction peut être prononcée indépendamment de la mise en œuvre des mesures nécessaires au renvoi (ATF 143 IV 249 consid. 1.9 ; arrêt du Tribunal fédéral 6B_428/2021 du 18 novembre 2021 consid. 1.1). Lorsque le juge choisit de prononcer une peine pécuniaire, il doit déterminer combien d'unités pénales ont déjà, par le passé, été infligées au prévenu en raison du délit continu et ne peut dépasser le seuil maximal de 180 jours-amende prévu par l'art. 34 al. 1 CP (ATF 145 IV 449 consid. 1.5). 2.2.1. En dépit de l'absence de rapport rendu par le QCH et bien qu'aucune boulette n'ait été saisie par la police, il est établi que l'appelant était en possession de cocaïne cette nuit-là, à tout le moins de trois boulettes de cette substance, d'un poids total brut de 1.5 gramme vraisemblablement, ainsi qu'il le soutient ; ce fait est admis. Il convient de déterminer si cette drogue était destinée à la vente ou à sa consommation personnelle. Les versions des deux protagonistes divergent. La thèse de l'agression, mise en avant par l'appelant, est laconique. Elle ne saurait être écartée d'emblée cependant – il est constant que la police a été appelée pour une bagarre et que le prévenu saignait du nez à son arrivée. Quant à la version de C______, reprise par l'accusation, elle est plausible. Elle est cohérente et contient des détails. Mais elle n'est pas étayée. Que deux billets de CHF 20.- et CHF 10.- se soient trouvés en possession du prévenu n'apparait pas déterminant, sachant que ce sont quelque CHF 131.- au total qui ont été saisis sur lui. L'anecdote de la fellation est certes singulière, mais elle n'est pas probante en soi. Quant aux antécédents judiciaires, spécifiques, ils suscitent l'interrogation, la suspicion, mais ils ne sont pas davantage décisifs. Enfin, la tentative de dissimuler les boulettes, tout comme la consommation (quotidienne ou le week-end), plaident aussi bien pour le délit que pour la contravention à la LStup. En réalité, ce qui est susceptible d'emporter la conviction, ce sont les accusations de C______, selon lesquelles le prévenu aurait cherché à lui vendre de la cocaïne. Les propos incriminants de ce témoin sont l'élément fort, à charge, du dossier, la preuve essentielle. Or l'appelant n'a pas pu, de fait, être confronté à ce dernier en cours de procédure. Cette occasion ne lui a pas été donnée. Le TP ne pouvait, partant, faute de confrontation, fonder son jugement sur les déclarations, déterminantes, de ce témoin, sans violer le droit d'être entendu du prévenu. A______ doit être acquitté du chef de délit à la LStup. Il doit, partant, être reconnu coupable du chef de contravention à la LStup. 2.2.2. L'appelant a séjourné en Suisse pendant la période pénale, alors qu'il était démuni de papiers d'identité et n'était pas au bénéfice des autorisations nécessaires. Par son comportement, il a violé l'art. 115 al. 1 let. b LEI. Il ne le conteste pas. Rien n'indique que l'autorité administrative ait pris la moindre mesure en vue du renvoi du prévenu dans son pays d'origine. Seule une peine pécuniaire, qui ne contrevient pas à la Directive sur le retour, entre donc en ligne de compte. 60 unités pénales au total ont été infligées à l'appelant, pour séjour illégal, par jugements des 17 août 2016 et 22 novembre 2018. Il faut considérer que 30 unités supplémentaires l'ont été de ce chef, chaque fois, par jugements des 11 juillet 2016, 15 juin 2017 et 27 septembre 2018, et 10 unités de plus par jugement du 21 novembre 2017. Ce sont donc 160 unités pénales qui ont déjà, par le passé, été infligées au prévenu en raison de ce délit continu. Dans ces conditions, le seuil maximal de 180 jours-amende prévu par l'art. 34 al. 1 CP n'a pas été atteint. Le prononcé d'une peine pécuniaire supérieure à zéro demeure possible. Le fait que le MP a considéré, par ordonnance du 14 août 2023, que le plafond de 180 jours-amende avait déjà été atteint n'est pas opposable à la Chambre de céans.</w:t>
      </w:r>
    </w:p>
    <w:p>
      <w:r>
        <w:rPr>
          <w:b/>
        </w:rPr>
        <w:t>E. 3</w:t>
      </w:r>
    </w:p>
    <w:p>
      <w:r>
        <w:t>3.1.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w:t>
      </w:r>
    </w:p>
    <w:p>
      <w:r>
        <w:rPr>
          <w:b/>
        </w:rPr>
        <w:t>E. 3.2</w:t>
      </w:r>
    </w:p>
    <w:p>
      <w:r>
        <w:t>La faute du prévenu n'est pas négligeable. Il a fait fi, une fois de plus, des règles sur la migration. La période pénale est longue (deux ans et neuf mois). Le mobile relève de la convenance personnelle. Sa situation personnelle n'est guère aisée, certes. Rien ne l'empêche, toutefois, de retourner dans son pays d'origine. La prise de conscience de la gravité de l'acte fait défaut ; le prévenu n'exprime pas de regrets et ne présente pas d'excuses. Le seuil maximal de 180 unités pénales ne pouvant être dépassé, ce sont 20 jours-amende qui seront fixés ici (art. 34 al. 1 CP). Le montant du jour-amende sera arrêté à CHF 10.- (art. 34 al. 2 CP). Le pronostic est défavorable. Il s'agit d'une énième condamnation, les précédentes ne l'ayant pas détourné de la récidive. Le statut de l'appelant, par ailleurs, est précaire et aucun projet d'avenir, sérieux, viable, ne se profile. La peine sera donc ferme et, par identité de motifs, les sursis octroyés les 15 juin 2017 et 21 novembre 2017 seront révoqués (art. 46 al. 1 CP) – la révocation des sursis accordés les 11 juillet 2016 et 17 août 2016 ne peut plus être ordonnée car trois ans se sont écoulés depuis l'expiration du délai d'épreuve (art. 46 al. 5 CP). Les peines révoquées et la nouvelle peine étant du même genre, une peine d'ensemble sera fixée, en appliquant par analogie l'art. 49 al. 1 CP (art. 46 al. 1 CP). Ainsi, la (nouvelle) peine de 20 jours-amende, de base, sera augmentée dans une juste proportion de 80 jours-amende (peine du 15 juin 2017) et de 20 jours-amende (peine du 21 novembre 2017), ce qui ramène la peine à 120 jours-amende. La détention avant jugement (deux + quatre + un jour(s)) sera imputée sur la peine d'ensemble (art. 51 CP). A______ sera mis à l'amende (art. 19 a ch. 1 LStup). Son montant sera arrêté à CHF 300.-, lequel tient compte de la situation de l'appelant et de la faute commise (art. 106 al. 3 CP).</w:t>
      </w:r>
    </w:p>
    <w:p>
      <w:r>
        <w:rPr>
          <w:b/>
        </w:rPr>
        <w:t>E. 4</w:t>
      </w:r>
    </w:p>
    <w:p>
      <w:r>
        <w:t>La restitution du téléphone et de l'argent est acquise à l'appelant (art. 391 al. 2 CPP).</w:t>
      </w:r>
    </w:p>
    <w:p>
      <w:r>
        <w:rPr>
          <w:b/>
        </w:rPr>
        <w:t>E. 5</w:t>
      </w:r>
    </w:p>
    <w:p>
      <w:r>
        <w:t>5.1. Vu l'issue de la procédure, A______, qui succombe en partie, supportera la moitié des frais de la procédure d'appel, qui comprennent un émolument de CHF 800.- (art. 428 al. 1 CPP et 14 al. 1 let. e RTFMP). Il y a lieu également de revoir les frais fixés par l'autorité inférieure. Seule la moitié de ceux-ci sera mise à la charge du condamné (art. 428 al. 3 CPP).</w:t>
      </w:r>
    </w:p>
    <w:p>
      <w:r>
        <w:rPr>
          <w:b/>
        </w:rPr>
        <w:t>E. 5.2</w:t>
      </w:r>
    </w:p>
    <w:p>
      <w:r>
        <w:t>Dans la mesure où l'appel est partiellement admis et que l'appelant est acquitté d'un chef d'infraction (LStup), une indemnité (1/2) lui sera accordée pour ses frais de défense privée en première instance et en appel, en CHF 2'201.15 et CHF 107.70 (entretien du 8 mai 2023) (art. 429 al. 1 let. a et 436 al. 1 CPP). Les conclusions en indemnisation de A______ fondées sur l'art. 429 al. 1 let. c CPP seront rejetées. Les jours de détention avant jugement ont, en effet, été imputés sur la peine.</w:t>
      </w:r>
    </w:p>
    <w:p>
      <w:r>
        <w:rPr>
          <w:b/>
        </w:rPr>
        <w:t>E. 6</w:t>
      </w:r>
    </w:p>
    <w:p>
      <w:r>
        <w:t>Pour les frais de défense d'office, la rémunération de Me B______ sera arrêtée à CHF 400.- correspondant à deux heures d'activité au tarif de CHF 200.-/heure et l'équivalent de la TVA au taux de 7.7% en CHF 30.80.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