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P/15811/2015 vom 6. Dezember 2016</w:t>
      </w:r>
    </w:p>
    <w:p>
      <w:r>
        <w:t>GE Cour de justice, 2016-12-06, FR</w:t>
      </w:r>
    </w:p>
    <w:p>
      <w:r>
        <w:rPr>
          <w:b/>
        </w:rPr>
        <w:t xml:space="preserve">Quelle: </w:t>
      </w:r>
      <w:r>
        <w:t>https://mcp.opencaselaw.ch/entscheid/ge_gerichte_P_15811_2015</w:t>
      </w:r>
    </w:p>
    <w:p>
      <w:r>
        <w:t>FR: GE_GERICHTE P/15811/2015 du 6 décembre 2016</w:t>
      </w:r>
    </w:p>
    <w:p>
      <w:r>
        <w:t>IT: GE_GERICHTE P/15811/2015 del 6 dicembre 2016</w:t>
      </w:r>
    </w:p>
    <w:p>
      <w:pPr>
        <w:pStyle w:val="Heading2"/>
      </w:pPr>
      <w:r>
        <w:t>Regeste</w:t>
      </w:r>
    </w:p>
    <w:p>
      <w:r>
        <w:t>IN DUBIO PRO REO; SÉJOUR ILLÉGAL; CONFISCATION(DROIT PÉNAL); DÉLIT CONTINU; INDEMNITÉ(EN GÉNÉRAL) | LETR.115.1.B OASA.A.1 LETR.10 CP.70.1 CPP.429.1.A CPP.429.1.C</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par.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2. En l'espèce, il est reproché à l'appelant d'avoir dépassé la durée du séjour non soumis à autorisation de trois jours. Or, celui-ci a indiqué s'être rendu plusieurs fois à Annemasse, allant jusqu'à affirmer qu'il y résidait. Même à supposer qu'il ait exagéré la durée de son séjour en France, il est vraisemblable que l'appelant y soit demeuré durant au moins trois jours complets, si on s'en tient à la description précise qu'il a donnée des lieux où il dit avoir logé et au fait qu'il détenait une somme dans la monnaie de ce pays. Aucune enquête n'a été diligentée, qui vienne contredire les propos de l'appelant. Il s'ensuit que les séjours successifs de l'appelant à Genève ont duré moins de trois mois effectifs. Il sera donc acquitté du chef de séjour illégal.</w:t>
      </w:r>
    </w:p>
    <w:p>
      <w:r>
        <w:rPr>
          <w:b/>
        </w:rPr>
        <w:t>E. 4.1</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La confiscation pourra être ordonnée même si l'auteur de l'infraction n'est pas identifié ou qu'un acquittement a été prononcé bien que les éléments constitutifs de l'infraction soient réalisés, par exemple en raison de l'irresponsabilité de l'auteur de l'infraction (Message concernant la modification du code pénal suisse et du code pénal militaire [Révision du droit de la confiscation, punissabilité de l'organisation criminelle, droit de communication du financier] du 30 juin 1993, FF 1993 p. 299). De la même manière, la confiscation pourra être prononcée en l'absence de plainte, s'agissant d'infractions non poursuivies d'office (ATF 129 IV 305 consid. 4 p. 311 ; SJ 2004 I 98 consid. 4.2.3. p. 99) ou en cas de décès de l'auteur. Le seul lien entre les avoirs confisqués et des actes relevant du droit pénal est à la fois nécessaire et suffisant (ATF 125 IV 4 consid. 2a p. 6 ; SJ 2004 I 98 consid. 4.2.1 p. 98).</w:t>
      </w:r>
    </w:p>
    <w:p>
      <w:r>
        <w:rPr>
          <w:b/>
        </w:rPr>
        <w:t>E. 4.2</w:t>
      </w:r>
    </w:p>
    <w:p>
      <w:r>
        <w:t>Il est acquis que l'appelant a mendié durant son séjour à Genève, selon ses propres déclarations à la police. Paradoxalement, le dossier ne fait mention d'aucune mise en contravention pour mendicité. La modicité des sommes saisies sur l'appelant ne permet pas à elle seule d'affirmer que ces valeurs sont le produit d'une infraction, ce d'autant qu'aucun acte d'instruction n'a été diligenté pour l'établir. Les montants saisis seront ainsi restitués à l'appelant comme il l'a requis. En revanche, la confiscation du lot de bijoux de fantaisie dont il a admis n'être que le détenteur et ignorer à qui ils appartenaient sera confirmée. Leur provenance est à l'évidence douteuse, aucun élément ne permettant de les relier à l'appelant comme étant leur ayant-droit.</w:t>
      </w:r>
    </w:p>
    <w:p>
      <w:r>
        <w:rPr>
          <w:b/>
        </w:rPr>
        <w:t>E. 5</w:t>
      </w:r>
    </w:p>
    <w:p>
      <w:r>
        <w:t>5.1.1. A teneur de l'art. 429 al. 1 let. a CPP, applicable par renvoi de l'art. 436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celui-ci à les chiffrer et à les justifier. Les démarches superflues, abusives ou excessives ne sont pas indemnisées (cf. ATF 115 IV 156 consid. 2d ; M. Niggli / M. Heer / H. Wiprächtiger, Schweizerische Strafprozessordnung – Jugendstrafprozessordnung, Basler Kommentar StPO/JStPO , 2 ème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5.1.2. En l'espèce, les honoraires réclamés par le Conseil de l'appelante, paraissent globalement justifiés au regard des prestations fournies, si bien qu'il n'est pas nécessaire de reprendre en détail les postes qui composent son état de frais. L'appelant se verra par conséquent allouer le montant de CHF 1'296.-, TVA comprise, pour ses frais de défense occasionnés par la procédure. 5.2.1. L'art. 429 al. 1 let. c CPP prévoit que le prévenu acquitté totalement ou en partie a droit à une réparation du tort moral subi en raison d'une atteinte particulièrement grave à sa personnalité, notamment en cas de privation de liberté. La preuve de l'existence du dommage, son ampleur et sa relation de causalité adéquate avec la poursuite pénale introduite à tort incombent au requérant (arrêt du Tribunal fédéral 6B_595/2007 du 11 mars 2008 consid. 2.2). Une arrestation peut constituer une grave atteinte à la personnalité (arrêt du Tribunal fédéral 6B_928/2014 du 10 mars 2016 consid. 5 et la doctrine citée) si elle a duré plus de trois heures, étant précisé que la durée d'un interrogatoire formel ne doit pas être prise en compte, seule étant déterminant la période pendant laquelle la personne est retenue à disposition des autorités (arrêt du Tribunal fédéral 6B_53/2013 du 8 juillet 2013 consid. 2.2). En revanche, il n'y a pas lieu de prendre en compte les désagréments inhérents à toute poursuite pénale comme la charge psychique que celle-ci est censée entraîner normalement chez une personne mise en cause (arrêt du Tribunal fédéral 6B_928/2014 du 10 mars 2016 consid. 4). 5.2.2. En l'espèce, déduction faite des interrogatoires qu'il a subis, l'appelant est resté privé de sa liberté pendant moins de trois heures. Partant, sa demande en indemnisation sera rejetée.</w:t>
      </w:r>
    </w:p>
    <w:p>
      <w:r>
        <w:rPr>
          <w:b/>
        </w:rPr>
        <w:t>E. 6</w:t>
      </w:r>
    </w:p>
    <w:p>
      <w:r>
        <w:t>6.1 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6.2</w:t>
      </w:r>
    </w:p>
    <w:p>
      <w:r>
        <w:t>Hormis le rejet partiel des conclusions de l'appelant en matière de confiscation, lequel n'a pas d'influence sur la prise en charge des frais, l'appelant ne succombe que sur ses prétentions d'indemnisation. Seul le quart des frais de la procédure d'appel sera ainsi mis à sa charge, qui comprennent un émolument de jugement de CHF 1'500.-. Vu l'issue de la cause, les frais de première instance seront mis à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