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P/15770/2012 vom 18. April 2013</w:t>
      </w:r>
    </w:p>
    <w:p>
      <w:r>
        <w:t>GE Cour de justice, 2013-04-18, FR</w:t>
      </w:r>
    </w:p>
    <w:p>
      <w:r>
        <w:rPr>
          <w:b/>
        </w:rPr>
        <w:t xml:space="preserve">Quelle: </w:t>
      </w:r>
      <w:r>
        <w:t>https://mcp.opencaselaw.ch/entscheid/ge_gerichte_P_15770_2012</w:t>
      </w:r>
    </w:p>
    <w:p>
      <w:r>
        <w:t>FR: GE_GERICHTE P/15770/2012 du 18 avril 2013</w:t>
      </w:r>
    </w:p>
    <w:p>
      <w:r>
        <w:t>IT: GE_GERICHTE P/15770/2012 del 18 aprile 2013</w:t>
      </w:r>
    </w:p>
    <w:p>
      <w:pPr>
        <w:pStyle w:val="Heading2"/>
      </w:pPr>
      <w:r>
        <w:t>Regeste</w:t>
      </w:r>
    </w:p>
    <w:p>
      <w:r>
        <w:t>MENDICITÉ; DROIT FONDAMENTAL | CEDH.10.1; CEDH.10.2; CEDH.8; LPG.11A; Cst.8.2; Cst.36.3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 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w:t>
      </w:r>
    </w:p>
    <w:p>
      <w:r>
        <w:t>2.1 L’appelant soutient que l’interdiction de la mendicité constitue une atteinte inadmissible à sa liberté d’expression, et en particulier, de communication. Il y a lieu d'examiner ce grief nonobstant la remarque de l'autorité inférieure de jugement. Il est en effet étroitement lié aux autres griefs développés en première instance, s'agissant de la violation alléguée d'un droit de rang supérieur, et fait au surplus partie de ceux développés dans le mémoire d'appel. C'est sans compter que la référence à la jurisprudence de la Cour constitutionnelle autrichienne sur l'arrêt de laquelle l'appelant s'appuie figure clairement dans le procès-verbal d'audience du Tribunal de police (procès-verbal p. 2).</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juridiction d'appel n’est pas liée par la décision autrichienne citée par l’appelant. Au demeurant, la mendicité suppose en principe un comportement actif consistant à réclamer de l’argent aux passants en les interpellant et en leur tendant parfois un gobelet, comme c'était le cas en l'occurence. En tout état de cause, le Tribunal fédéral a retenu que l’art. 11A LPG constituait une base légale suffisante pour interdire toute mendicité (ATF 134 I 214 , consid. 5.5). Cette interdiction n’empêche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Dans un deuxième moyen, l’appelant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 En matière de discrimination, même lorsque le fardeau de la preuve est allégé, il incombe à celui qui allègue une discrimination de la rendre tout au moins vraisemblable ( ibid ). 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 fait aussi valoir que la norme litigieuse consacre une discrimination sociale, dans la mesure où elle vise de manière prépondérante les pauvres et contribue à les stigmatiser.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 Ce grief doit ainsi aussi être rejeté.</w:t>
      </w:r>
    </w:p>
    <w:p>
      <w:r>
        <w:rPr>
          <w:b/>
        </w:rPr>
        <w:t>E. 4</w:t>
      </w:r>
    </w:p>
    <w:p>
      <w:r>
        <w:t>L'appelant invoque une restriction injustifiée à sa liberté personnelle et une atteinte à sa dignité humaine (art. 7, 10 et 36 al. 3 Cst. et 8 CEDH), son extrême pauvreté le contraignant à demander l'aumône. Dans l'arrêt 6B_31/2012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 du Tribunal fédéral 6B_31/2012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a quémandé de l'argent aux passants, en leur tendant un gobelet. Son comportement correspond ainsi au sens le plus clair et le plus littéral de la norme. Le grief est donc infondé.</w:t>
      </w:r>
    </w:p>
    <w:p>
      <w:r>
        <w:rPr>
          <w:b/>
        </w:rPr>
        <w:t>E. 6</w:t>
      </w:r>
    </w:p>
    <w:p>
      <w:r>
        <w:t>Entièrement mal fondé, l'appel sera rejeté. L'appelant, qui succombe, supportera les frais de la procédure envers l'État (art. 428 CPP et art. 14 al. 1 let. e du Règlement fixant le tarif des frais en matière pénale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