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P/15744/2024 vom 7. April 2025</w:t>
      </w:r>
    </w:p>
    <w:p>
      <w:r>
        <w:t>GE Cour de justice, 2025-04-07, FR</w:t>
      </w:r>
    </w:p>
    <w:p>
      <w:r>
        <w:rPr>
          <w:b/>
        </w:rPr>
        <w:t xml:space="preserve">Quelle: </w:t>
      </w:r>
      <w:r>
        <w:t>https://mcp.opencaselaw.ch/entscheid/ge_gerichte_P_15744_2024</w:t>
      </w:r>
    </w:p>
    <w:p>
      <w:r>
        <w:t>FR: GE_GERICHTE P/15744/2024 du 7 avril 2025</w:t>
      </w:r>
    </w:p>
    <w:p>
      <w:r>
        <w:t>IT: GE_GERICHTE P/15744/2024 del 7 aprile 2025</w:t>
      </w:r>
    </w:p>
    <w:p>
      <w:pPr>
        <w:pStyle w:val="Heading2"/>
      </w:pPr>
      <w:r>
        <w:t>Regeste</w:t>
      </w:r>
    </w:p>
    <w:p>
      <w:r>
        <w:t>PLAINTE PÉNALE;RETRAIT(VOIE DE DROIT) | CP.30; CPP.120</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ème éd., Bâle 2019, n. 8 ad art. 120). La renonciation de la partie plaignante à ses droits procéduraux doit être exprimée de façon claire et sans équivoque. D'une manière générale, l'autorité devra donc s'assurer que la partie plaignante entend bel et bien renoncer à ses droits, quitte à utiliser des formulaires préimprimés donnant toutes explications utiles sur les modalités et les conséquences de la renonciation.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(arrêt du Tribunal fédéral 1B_694/2021 du 8 août 2022 consid. 3.1).</w:t>
      </w:r>
    </w:p>
    <w:p>
      <w:r>
        <w:rPr>
          <w:b/>
        </w:rPr>
        <w:t>E. 2.1</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 131 IV 97 consid. 3.1 p. 98), dans les formes et auprès des autorités compétentes selon l'art. 304 al. 1 CPP (arrêts du Tribunal fédéral 6B_1297/2017 du 26 juillet 2018 consid. 1.1.1 ; 6B_942/2017 du 5 mars 2018 consid. 1.1). Un formulaire de plainte pénale préétabli, signé par l'ayant droit, portant la seule mention de l'infraction pour laquelle la poursuite est demandée (par exemple : menace) à l'exclusion d'autres indications factuelles relatives aux événements, peut remplir les exigences de contenu. C'est le cas lorsque les organes de police, auprès desquels la plainte est déposée, sont au clair sur l'état de fait pour lequel la poursuite est requise ; notamment parce qu'ils sont intervenus pendant les faits reprochés ou lorsque la cause a été documentée à l'interne (arrêts du Tribunal fédéral 6B_1297/2017 du 26 juillet 2018 consid. 1.1.1 et les références ; 6S.302/2005 du 31 octobre 2005 consid. 4 et 5 = Pra 2006 46 334).</w:t>
      </w:r>
    </w:p>
    <w:p>
      <w:r>
        <w:rPr>
          <w:b/>
        </w:rPr>
        <w:t>E. 2.2</w:t>
      </w:r>
    </w:p>
    <w:p>
      <w:r>
        <w:t>Aux termes de l'art. 120 al. 1 CPP, le lésé peut en tout temps déclarer par écrit ou par oral qu'il renonce à user des droits qui sont les siens ; la déclaration orale est consignée au procès-verbal. La renonciation est définitive. Cette renonciation revêt un caractère exclusivement procédural, en ce sens que l'intéressé renonce aux droits conférés par le CPP et qu'il ne peut plus participer à la procédure pénale comme demandeur au pénal ou au civil (art. 118 CPP). La renonciation à la qualité de demandeur au pénal ne vaut pas retrait de plainte ( ACPR/108/2013 du 21 mars 2013 ; Y. JEANNERET / A. KUHN / C. PERRIER DEPEURSINGE (éds), Commentaire romand : Code de procédure pénale suisse ,</w:t>
      </w:r>
    </w:p>
    <w:p>
      <w:r>
        <w:rPr>
          <w:b/>
        </w:rPr>
        <w:t>E. 2.3</w:t>
      </w:r>
    </w:p>
    <w:p>
      <w:r>
        <w:t>En l'espèce, la partie plaignante a rempli un formulaire pré-imprimé comportant diverses rubriques. Elle a expressément visé les infractions aux art. 144 et 186 CP, décrit le dommage matériel subi et le mode d'introduction de l'auteur. Elle a ensuite manifesté son intention de ne pas participer à la procédure pénale, ce qui est son droit au sens de l'art. 120 CPP, renonçant ainsi à défendre ses intérêts dans la procédure. L'intention exprimée par la partie plaignante est ainsi claire : elle a déposé plainte pénale à l'encontre du ou des auteur-s des infractions dénoncées et souhaité ne pas participer à la procédure à son encontre. Dans la mesure où la plaignante a clairement visé les art. 144 et 186 CP et décrit des éléments qui ne ressortent que de ces infractions, la renonciation ensuite exprimée ne peut pas être interprétée comme un retrait de plainte mais bien, ainsi que l'a retenu le premier juge, comme une renonciation à toute participation à la procédure pénale.</w:t>
      </w:r>
    </w:p>
    <w:p>
      <w:r>
        <w:rPr>
          <w:b/>
        </w:rPr>
        <w:t>E. 2.4</w:t>
      </w:r>
    </w:p>
    <w:p>
      <w:r>
        <w:t>Les conclusions principales de l'appelant en classement de ces faits doivent ainsi être rejetées, une plainte ayant valablement été déposée. L'appelant n'a en rien expliqué les motifs qui devraient conduire à son acquittement de ces infractions. Il a reconnu les faits, qui sont constitutifs de ces infractions ; sa condamnation pour dommages à la propriété et violation de domicile commis entre le 19 et le 20 avril 2024 doit être confirmée.</w:t>
      </w:r>
    </w:p>
    <w:p>
      <w:r>
        <w:rPr>
          <w:b/>
        </w:rPr>
        <w:t>E. 3</w:t>
      </w:r>
    </w:p>
    <w:p>
      <w:r>
        <w:t>3.1. Selon l'art. 291 CP, quiconque contrevient à une décision d'expulsion du territoire de la Confédération ou d'un canton prononcée par une autorité compétente est puni d'une peine privative de liberté de trois ans au plus ou d'une peine pécuniaire (al. 1). La durée de cette peine n'est pas imputée sur celle de l'expulsion (al. 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p. 256; 147 IV 232 consid. 1.1 p. 234).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p. 256 ; arrêt du Tribunal fédéral 6B_669/2021 du 11 avril 2022 consid. 3.1). Un étranger en situation irrégulière en Suisse ne peut donc pas être condamné en vertu de l'art. 115 al. 1 let. b de la loi fédérale du 16 décembre 2005 sur les étrangers et l'intégration (LEI) s'il lui est objectivement impossible de quitter légalement la Suisse, ce qui vaut a fortiori aussi pour l'infraction de rupture de ban au sens de l'art. 291 CP, celle-ci étant également soumise au principe de la faute (arrêt du Tribunal fédéral 6B_669/2021 du 11 avril 2022 consid. 3.1).</w:t>
      </w:r>
    </w:p>
    <w:p>
      <w:r>
        <w:rPr>
          <w:b/>
        </w:rPr>
        <w:t>E. 3.2</w:t>
      </w:r>
    </w:p>
    <w:p>
      <w:r>
        <w:t>L'Algérie n'accepte pas le retour de ses ressortissants par vols spéciaux (arrêt du Tribunal fédéral 6B_525/2014 du 9 octobre 2014 consid. 1.2). Les renvois sous la contrainte à destination de l'Algérie sont néanmoins possibles, lorsque le rapatriement est effectué sur des vols de ligne (arrêt du Tribunal fédéral 2C_1072/2015 du 21 décembre 2015 consid. 3.3 ;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(arrêts du Tribunal fédéral 6B_106/2016 du 7 décembre 2016 consid. 1.4.1 et 2C_1072/2015 du 21 décembre 2015 consid. 3.3). Le fait que l'Algérie ne collabore pas avec la Suisse en matière de vols spéciaux ne dispense pas les autorités administratives de toute démarche en vue du renvoi (ATF 147 IV 232 consid. 1.7).</w:t>
      </w:r>
    </w:p>
    <w:p>
      <w:r>
        <w:rPr>
          <w:b/>
        </w:rPr>
        <w:t>E. 3.3</w:t>
      </w:r>
    </w:p>
    <w:p>
      <w:r>
        <w:t>En l'espèce, les éléments objectifs de l'infraction de rupture de ban sont établis et non contestés. Contrairement à ce qu'il prétend, il ressort du dossier que l'appelant n'a jamais manifesté sa volonté de quitter la Suisse, au contraire. S'il affirme vouloir de l'aide pour quitter la Suisse, l'appelant a refusé de collaborer avec les autorités administratives en vue de son identification, rendant ainsi plus difficile son renvoi. Il a renouvelé ce comportement d'obstruction pendant la procédure d'appel, refusant de rencontrer les autorités administratives compétentes : les explications fournies à cet égard sont de pure circonstance et n'emportent aucune conviction. À cela s'ajoute que l'appelant, qui a été détenu de façon répétée au cours des dernières années, n'a jamais pris l'initiative de contacter sa famille en Algérie ou les autorités de ce pays, ni de demander aux services sociaux des établissements de détention de le faire pour lui. Or, seule l'obtention de documents permettant une identification formelle permet de progresser dans le renvoi (libre ou sous contrainte) de ressortissants algériens démunis de tels documents. En l'absence de collaboration de l'intéressé, les autorités administratives ne pouvaient pas entreprendre d'autres démarches. Dans ces circonstances, l'appelant est seul responsable de la poursuite illégale de son séjour en Suisse, alors que les autorités administratives ont entrepris les démarches que l'on pouvait attendre d'elles. Il s'est donc rendu coupable de rupture de ban et le verdict de culpabilité du premier juge sera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w:t>
      </w:r>
    </w:p>
    <w:p>
      <w:r>
        <w:rPr>
          <w:b/>
        </w:rPr>
        <w:t>E. 4.3</w:t>
      </w:r>
    </w:p>
    <w:p>
      <w:r>
        <w:t>En l'espèce, la faute de l'appelant est importante. Il a commis deux cambriolages à quelques mois d'intervalle, dans le but de subvenir de la sorte à ses besoins aux dépens du bien d'autrui ; il a persévéré dans son attitude d'obstruction envers les autorités de migration, jusque pendant la procédure d'appel. Il a été mû par l'appât du gain facile et un manque flagrant de respect du bien d'autrui et des décisions de l'autorité. Certes, sa situation personnelle n'est pas facile ; cela étant, ses difficultés sont principalement imputables à son propre comportement puisqu'il s'obstine à demeurer en Suisse alors qu'il n'a aucun droit de séjour, aucune perspective de régularisation ni aucune source de revenu légal dans ce pays et pourrait rentrer en Algérie en fournissant un effort et en collaborant avec les autorités. Ses condamnations antérieures ne l'ont manifestement pas dissuadé de récidiver ou de prendre des dispositions pour permettre la mise en œuvre des décisions d'expulsion prononcées à son encontre. Le pronostic quant à son comportement futur ne peut être que défavorable, et seule une peine privative de liberté ferme entre en ligne de compte, ce que l'appelant ne conteste à juste titre pas. L'infraction objectivement la plus grave est le vol, passible d'une peine privative de liberté allant jusqu'à cinq ans. Les deux vols ont été commis sous la forme de cambriolages : les dommages à la propriété et les violations de domicile commis concomitamment sont intrinsèquement liés et chacun de ces épisodes doit faire l'objet d'une peine globale. Compte tenu de la gravité de la faute de l'appelant et de ses très mauvais antécédents, chaque épisode emporte une peine théorique de six mois ; la peine d'ensemble pour les deux cambriolages doit donc être fixée à dix mois. Cette peine doit encore être aggravée de quatre mois (peine théorique de six mois) pour la rupture de ban, ce qui porte la peine privative de liberté d'ensemble à 14 mois. L'appel doit donc être partiellement admis sur ce point, et la peine prononcée par le premier juge ramenée à 14 mois.</w:t>
      </w:r>
    </w:p>
    <w:p>
      <w:r>
        <w:rPr>
          <w:b/>
        </w:rPr>
        <w:t>E. 4.4</w:t>
      </w:r>
    </w:p>
    <w:p>
      <w:r>
        <w:t>Pour le surplus, l'appelant ne conteste pas l'amende et la peine privative de liberté de substitution prononcées pour la contravention à la LStup, qui sont appropriées et seront confirmées.</w:t>
      </w:r>
    </w:p>
    <w:p>
      <w:r>
        <w:rPr>
          <w:b/>
        </w:rPr>
        <w:t>E. 5</w:t>
      </w:r>
    </w:p>
    <w:p>
      <w:r>
        <w:t>L'appelant ayant retiré son appel sur ce point, son expulsion à vie du territoire suisse sera confirmée, tout comme l'inscription de la mesure au SIS.</w:t>
      </w:r>
    </w:p>
    <w:p>
      <w:r>
        <w:rPr>
          <w:b/>
        </w:rPr>
        <w:t>E. 6</w:t>
      </w:r>
    </w:p>
    <w:p>
      <w:r>
        <w:t>L'appelant, qui succombe sur le classement et partiellement sur la quotité de la peine, supportera les deux tiers des frais de la procédure envers l'État (art. 428 CPP), comprenant un émolument de décision de CHF 1'500.-. Il n'y a pas lieu de revoir la répartition des frais de la procédure préliminaire et de première instance. L'émolument complémentaire de jugement du TP sera mis à la charge de l'appelant dans la même proportion que les frais d'appel.</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le temps consacré par le conseil de l'appelant à la lecture du jugement entrepris et à la rédaction de la déclaration d'appel (qui n'a pas à être motivée) seront écartés, ces activités s'inscrivant dans le forfait pour activités diverses. Par ailleurs, le temps de préparation facturé (qui s'ajoute aux quatre entretiens avec le prévenu détenu) est manifestement exagéré, pour un dossier connu de la défenseure d'office (nommée dès l'arrestation de l'appelant) pour avoir été plaidé récemment en première instance, peu volumineux (un classeur fédéral peu dense pour la procédure préliminaire et de première instance) et ne présentant au surplus aucune complexité de faits (admis) ou de droit. Il sera dès lors ramené à trois heures, suffisantes pour préparer les débats d'appel, dont la durée sera ajoutée ainsi qu'un forfait de déplacement. En conclusion, la rémunération sera arrêtée à CHF 2'810.60 correspondant à 10h25 d'activité au tarif de CHF 200.-/heure plus la majoration forfaitaire de 20%, un déplacement à CHF 100.- et l'équivalent de la TVA au taux de 8.1% en CHF 210.60.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