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P/1572/2018 vom 18. September 2020</w:t>
      </w:r>
    </w:p>
    <w:p>
      <w:r>
        <w:t>GE Cour de justice, 2020-09-18, FR</w:t>
      </w:r>
    </w:p>
    <w:p>
      <w:r>
        <w:rPr>
          <w:b/>
        </w:rPr>
        <w:t xml:space="preserve">Quelle: </w:t>
      </w:r>
      <w:r>
        <w:t>https://mcp.opencaselaw.ch/entscheid/ge_gerichte_P_1572_2018</w:t>
      </w:r>
    </w:p>
    <w:p>
      <w:r>
        <w:t>FR: GE_GERICHTE P/1572/2018 du 18 septembre 2020</w:t>
      </w:r>
    </w:p>
    <w:p>
      <w:r>
        <w:t>IT: GE_GERICHTE P/1572/2018 del 18 settembre 2020</w:t>
      </w:r>
    </w:p>
    <w:p>
      <w:pPr>
        <w:pStyle w:val="Heading2"/>
      </w:pPr>
      <w:r>
        <w:t>Regeste</w:t>
      </w:r>
    </w:p>
    <w:p>
      <w:r>
        <w:t>ABUS D'AUTORITÉ;DISPOSITIONS PÉNALES DE LA LARM;NÉGLIGENCE;FIXATION DE LA PEINE;AMENDE;FRAIS DE LA PROCÉDURE;INDEMNITÉ(EN GÉNÉRAL) | LArm.33.al1; LArm.33.al2; CP.312; CP.106; CPP.429.al1.leta; CPP.436.al1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w:t>
      </w:r>
    </w:p>
    <w:p>
      <w:r>
        <w:t>2.1.1. L'art. 312 CP réprime le fait pour un membre d'une autorité ou un fonctionnaire d'abuser des pouvoirs de sa charge dans le dessein de se procurer ou de procurer à un tiers un avantage illicite ou de nuire à autrui.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Une violation insoutenable des pouvoirs confiés n'est en revanche pas nécessaire.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 du Tribunal fédéral 6B_76/2011 du 31 mai 2011, consid. 5.1 et les références citées). Selon l'interprétation restrictive de la doctrine et de la jurisprudence, l'abus d'autorité ne comprend que les pouvoirs qui sont conférés au fonctionnaire. Ceux-ci sont caractérisés par le droit d'exercer une contrainte. Peu importe que les pouvoirs soient conférés à l'agent public par une loi, un règlement ou sur la base d'un mandat d'une autorité publique (BASLER KOMMENTAR (BSK), STRAFRECHT II, 4 ème ed., 2019, ad art. 312 CP n° 6 et les références citées) Lorsque l'on parle d'abus dans l'exercice du pouvoir public, un des critères à prendre en compte est celui de la force. Dans une telle situation, il se vérifie par une utilisation exorbitante, excessive et démesurée du pouvoir, qui sort des limites normatives. Le Tribunal fédéral a éclairci le concept par une formulation standard: (a) l'auteur use illicitement des pouvoirs qu'il tire de sa charge lorsqu'il décide ou contraint dans un cas où il ne lui était pas permis de le faire; (b) l'auteur poursuit un but légitime, mais recourt à des moyens disproportionnés (COMMENTAIRE ROMAND (CR), CODE PENAL II, 2017, ad art. 312 CP, n° 25) 2.1.2. La première condition pour un abus de pouvoir est le fait que l'auteur accomplit un acte de puissance publique. L'auteur exerce ses pouvoirs officiels lorsqu'il accomplit un acte ou prend une mesure entrant dans ceux que ses fonctions lui commandent d'accomplir ordinairement. L'exercice de la puissance publique vise par conséquent deux hypothèses: l'acte de disposition de droit public (Verfügung) et l'acte matériel de contrainte (Zwang). Le pouvoir devrait avoir été exercé seulement à l'encontre de personnes (physiques ou morales) extérieures à l'administration. Il doit s'agir d'une décision d'un membre d'une autorité ou d'un fonctionnaire rendue à l'égard d'un ou de plusieurs particuliers. Elle doit régler de manière contraignante une situation juridique. Il y a abus d'autorité officielle lorsque l'auteur utilise illégalement les pouvoirs qui lui sont conférés en émettant des ordres souverains en vertu de sa fonction ou en exerçant une contrainte d'une autre manière lorsque cela ne doit pas être fait (PETIT COMMENTAIRE (PC), CODE PENAL, 2017, ad art. 312 CP, n° 10 et ss et les références citées; CR, op. cit ., n°24 ; BSK, op. cit ., n° 7 et 16 et les références citées). Dans la première hypothèse, l'auteur exerce la puissance publique en accomplissant un acte de disposition de droit public, par exemple en prenant une décision en vertu d'un pouvoir de décision constitutif de la puissance publique. Dans la deuxième hypothèse, l'auteur accomplit un acte matériel de contrainte dans le cadre de son activité professionnelle. La contrainte est une atteinte aux droits de la liberté personnelle qui est généralement le fait de l'usage de la force physique, mais peut également provenir de pressions d'ordre psychique. En matière de violence et de contrainte exercées par un fonctionnaire, peu importe que l'auteur poursuive ou non un but relevant de sa fonction officielle. En cas d'utilisation de la force, il suffit que l'utilisation de celle-ci apparaisse comme l'exercice de la puissance qui échoit au fonctionnaire en vertu de sa position officielle. L'exploitation d'une position officielle est étroitement liée au pouvoir d'exercer la force et donc à celui d'adopter des mesures de type coercitif. On entrevoit une certaine tendance de la jurisprudence à élargir le champ d'application au cas où la décision de nature coercitive est à la base du comportement de l'auteur, lequel est immédiatement lié à celle-ci et vise à obtenir un avantage illicite ou à nuire à un tiers. (PC , op. cit ., n° 10 et ss ;. CR, op. cit ., n° 18 et les références citées) La deuxième condition pour que l'auteur réalise le comportement typique de l'article 312 CP est qu'il abuse de son autorité. Tel est le cas lorsqu'il use d'une façon non permise de ses pouvoirs officiels, c'est-à-dire qu'en vertu de sa charge, il en dispose - avec effet obligatoire - en dépassant les limites de ce que ses pouvoirs lui permettent. L'usage est illicite lorsque l'acte viole un devoir de fonction prévu explicitement ou implicitement dans une loi au sens matériel ou dans la Constitution. La carence d'une condition formelle à l'accomplissement d'une mesure de contrainte ne suffit pas pour la considérer comme un abus de pouvoir. En cas de manque apparent de base légale, il faut vérifier si l'acte ou la mesure ne reposent pas sur la clause générale de police. Il suffit que la contrainte implique un abus de pouvoir, c'est-à-dire qu'elle ait été rendue possible par l'autorité officielle et qu'elle semble être l'exercice de cette autorité (PC , op. cit ., n° 10 et ss ; BSK, op. cit ., n° 14 et les références citées) 2.1.3. Le législateur a voulu réprimer «divers cas particuliers spécialement importants de manquements à ces devoirs». L'abus d'autorité constitue partant un quid pluris puisqu'il a pour objet des manquements spécifiques et qualifiés. La portée de la norme est limitée «à son noyau de signification». Le choix se concentre sur des situations typiques et non pas sur des comportements borderline qui pourraient faire ressortir le caractère général et subsidiaire de l'abus d'autorité vis-à-vis d'autres infractions. Cette ligne directrice a été confirmée de manière constante par la jurisprudence (CR , op. cit ., ad n° 16). La disposition ne tend à sanctionner comme abus d'autorité que les cas importants de manquement à un devoir de fonction. Les infractions de moindre gravité doivent être sanctionnées par la voie disciplinaire, voire par des dispositions cantonales sur la répression des contraventions conformément à l'article 335 CP (ATF 88 IV 69 , c. 1, JdT 1962 IV 86). La simple violation de devoirs de service, même sanctionnée par l'autorité supérieure ou de recours, ne suffit pas pour retenir l'existence d'un abus. Il doit s'agir d'une violation insoutenable des règles applicables (PC, op. cit. , n° 19 et les références citées). En particulier, l'article 312 CP ne s'applique pas aux décisions qui entraînent des avantages illicites pour des personnes, à condition que l'effet coercitif n'affecte pas les tiers. En cas d'infractions aux devoirs de la charge pour lesquelles le critère caractéristique de la contrainte fait défaut, seuls l'entrave à l'action pénale (art. 305 CP) ou la gestion déloyale des intérêts publics (art. 314 CP), la corruption d'agents publics suisses (art. 322ter ss.) ou encore la loi pénale cantonale relative aux fonctionnaires cantonaux sont applicables. La sanction des autres manquements au devoir devrait être laissée exclusivement au droit disciplinaire (BSK, op. cit., n°13 et 21).</w:t>
      </w:r>
    </w:p>
    <w:p>
      <w:r>
        <w:rPr>
          <w:b/>
        </w:rPr>
        <w:t>E. 2.2</w:t>
      </w:r>
    </w:p>
    <w:p>
      <w:r>
        <w:t>En l'espèce, il est difficile de discerner en quoi A______ a abusé de son autorité au sens de la doctrine et la jurisprudence précitées. Il est certes établi qu'il s'est présenté au C______ sous couvert de sa fonction de policier et qu'il a laissé entendre que des motifs liés à son activité professionnelle justifiaient de sa demande d'accréditation. Cela étant, vu la procédure mise en place à la fois par les organisateurs du C______ et par la police elle-même, l'admission de policiers es qualité au salon était soumise tant à l'approbation de l'officier de liaison qu'à celle de F______, responsable de la sécurité et seul habilité à délivrer les sésames d'accès, ceci de manière totalement indépendante de l'accueil préalables des hôtesses. Or, même si F______ a discuté avec A______ des raisons de sa présence au C______, il n'apparaît pas que ce soit par suite d'une contrainte ou d'un rapport de force émanant de A______ que ce dernier a été autorisé à pénétrer au salon. Bien au contraire, puisque F______ en a référé à K______ lequel lui a, à tout le moins implicitement, demandé de l'accréditer en lui indiquant qu'il était bien policier, sans même demander à A______ les raisons de sa présence au salon. Par ailleurs, K______ a également réservé à la stricte approbation de F______ l'admission au salon de A______. Il apparait ainsi que même s'il s'est légitimé en tant que policier en service, A______ n'a à aucun moment fait usage de contrainte pour soumettre un tiers à lui accorder l'autorisation d'accès mais qu'il a tout au plus cherché à justifier sa présence, sans pour autant que vis-à-vis de sa demande, motivée par son intérêt personnel, il en résulte qu'il se soit trouvé en position de force pour imposer qu'elle soit acceptée. Il peut d'ailleurs légitimement être considéré que F______ a immédiatement fortement douté des explications données par A______, vu le sms adressé à E______, et qu'il pouvait d'autant plus s'opposer à l'admission de l'appelant. En l'absence d'acte matériel de contrainte qui puisse lui être imputable, il ne peut pas non plus être considéré que A______ a pris une décision en vertu d'un pouvoir constitutif de la puissance publique. En effet, l'admission de policiers était soumise à approbation dans le contexte précité, et il n'était pas dans les prérogatives de A______ de pouvoir en décider au-delà de la procédure prévue, ce qu'il n'a d'ailleurs pas cherché à faire. A titre superfétatoire, il sera relevé que pour autant qu'il eut fallu admettre un abus de A______ dans l'exercice de ses fonctions, il ne saurait être considéré que son comportement corresponde à un cas important de manquement à un devoir de fonction par le simple fait qu'il a cherché à entrer dans un salon professionnel en se prévalant de sa qualité de policier. Au vu de l'interprétation restrictive donnée par la jurisprudence à la commission de l'infraction, il faudrait retenir tout au plus qu'il s'agirait d'un cas de moindre gravité devant être sanctionné par la voie disciplinaire uniquement. A cet égard, il est d'ailleurs souligné que l'art. 6 ch. 4 du règlement genevois sur l'organisation de la police (ROPol) [F 1 05.01] du 16 mars 2016 dispose que celui qui aura porté abusivement l'uniforme ou un accessoire de l'équipement, aura refusé de le porter malgré l'ordre reçu ou l'aura porté de façon non conforme aux prescriptions ou aux ordres reçus s'expose à une sanction disciplinaire au sens des articles 36 et suivants de la loi, sans préjudice d'une éventuelle sanction pénale. L'appel sera ainsi admis sur ce point et le jugement réformé.</w:t>
      </w:r>
    </w:p>
    <w:p>
      <w:r>
        <w:rPr>
          <w:b/>
        </w:rPr>
        <w:t>E. 3</w:t>
      </w:r>
    </w:p>
    <w:p>
      <w:r>
        <w:t>3.1.1. Au sens de l'art. 4 al. 1 let. g LArm, dans sa teneur du 1 er juillet 2016, par armes, on entend notamment les armes factices, les armes d'alarme et les armes soft air, lorsqu'elles peuvent être confondues avec de véritables armes à feu du fait de leur apparence. 3.1.2. Selon l'art. 11 al. 1 Larm (teneur du 1 er juillet 2016), l'aliénation d'une arme ou d'un élément essentiel d'arme ne nécessitant pas de permis d'acquisition d'armes (art. 10) doit être consignée dans un contrat écrit. Ce contrat doit être conservé par chaque partie pendant au moins dix ans. L'alinéa 2 de la disposition prévoit que le contrat doit contenir les indications suivantes: a. le nom, les prénoms, la date de naissance, l'adresse ainsi que la signature de la personne qui aliène l'arme ou l'élément essentiel d'arme. Les dispositions précitées figurent toujours dans la version actuelle de la LArm. 3.1.3. L'art. 33 al. 1 LArm prévoit qu'est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Si l'auteur agit par négligence, la peine est une amende. Dans les cas de peu de gravité, le juge peut exempter l'auteur de toute peine (al. 2). 3.1.4. Selon l'art. 12 al. 2 CP, agit intentionnellement quiconque commet un crime ou un délit avec conscience et volonté. L'auteur agit déjà intentionnellement lorsqu'il tient pour possible la réalisation de l'infraction et l'accepte au cas où celle-ci se produirait (dol éventuel). En vertu de l'art. 12 al. 3 CP, agit par négligence quiconque, par une imprévoyance coupable, commet un crime ou un délit sans se rendre compte des conséquences de son acte ou sans en tenir compte. Le dol éventuel ne suppose pas nécessairement que la survenance du résultat soit très probable, mais seulement possible même si cette possibilité ne se réalise que relativement rarement d'un point de vue statistique (ATF 131 IV 1 consid. 2.2 p. 4 s.). Par ailleurs,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La conclusion que l'auteur s'est accommodé du résultat ne peut en aucun cas être déduite du seul fait qu'il a agi bien qu'il eût conscience du risque que survienne le résultat, car il s'agit là d'un élément commun à la négligence consciente également 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(arrêt du Tribunal fédéral 6B_557/2015 du 28 janvier 2016, consid. 2.2 et les références citées).</w:t>
      </w:r>
    </w:p>
    <w:p>
      <w:r>
        <w:rPr>
          <w:b/>
        </w:rPr>
        <w:t>E. 3.2</w:t>
      </w:r>
    </w:p>
    <w:p>
      <w:r>
        <w:t>En l'espèce, A______ ne conteste pas la possession du fusil soft air. Aucun élément du dossier ne permet de contester sa version selon laquelle il a trouvé le fusil soft air dans son casier lorsque ce dernier lui a été attribué puis en a oublié l'existence, aucun collègue ne l'ayant jamais vu avec ce fusil en main. Par ailleurs, au vu de la photographie figurant au dossier et du rapport complémentaire établi par la police (p. C 162), la CPAR considère qu'il est établi que ce fusil soft air correspond bien à la définition visée à l'art. 4 al.1 let. g LArm, contrairement à ce que soutient l'appelant, étant relevé qu'il n'a pas soulevé cet argument devant le TP, se contentant d'indiquer qu'il avait vu qu'il ne s'agissait pas d'une arme à feu. A______ a admis devant la CPAR qu'il avait reçu une instruction sur les armes lors de sa formation et qu'il s'était interrogé sur la nécessité de signaler la présence de ce fusil soft air dans son casier à ses supérieurs lorsqu'il l'avait trouvé. Cet élément laisse apparaître qu'il a eu conscience du caractère potentiel d'arme de ce fusil soft air. Il a cependant indiqué s'être abstenu d'en référer à sa hiérarchie pensant faire éventuellement l'objet d'un bizutage ou d'un test pour son arrivée et qu'il pensait identifier à la suite le propriétaire de ce fusil soft air, puis en avoir oublié l'existence. Il est relevé que le caractère soft air de l'objet, de même que la nécessité de la possession d'un titre de transfert, sont peu susceptibles d'avoir particulièrement attiré l'attention de A______ sur la réalisation des éléments constitutifs de l'infraction à l'art. 33 al. 1 LArm, la gravité de la violation du devoir de prudence étant relative à cet égard. De la sorte, l'on ne peut retenir que la survenance du résultat s'est imposée à A______ que comme une acceptation de ce fait. Il apparaît au contraire que c'est par une imprévoyance coupable que A______ a conservé ce fusil soft air dans son casier alors qu'il n'en avait jamais eu aucun usage personnel. A l'examen des faits, il apparaît que A______ a fait preuve de négligence coupable en escomptant que le résultat ne se produirait pas. Son appel sera partiellement admis et, conformément à l'art. 33 al. 2 LArm, il sera condamné à l'amende, le jugement étant réformé en ce sens.</w:t>
      </w:r>
    </w:p>
    <w:p>
      <w:r>
        <w:rPr>
          <w:b/>
        </w:rPr>
        <w:t>E. 4</w:t>
      </w:r>
    </w:p>
    <w:p>
      <w:r>
        <w:t>4.1.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rPr>
          <w:b/>
        </w:rPr>
        <w:t>E. 4.2</w:t>
      </w:r>
    </w:p>
    <w:p>
      <w:r>
        <w:t>En l'espèce, la faute de A______ est relative. Cependant, en sa qualité de policier formé, il se devait de clarifier la situation quant à la présence du fusil soft air dans son casier. Par pure négligence, il a omis de s'en préoccuper. Une amende de CHF 500.- sera ainsi prononcée pour sanctionner correctement ce manquement.</w:t>
      </w:r>
    </w:p>
    <w:p>
      <w:r>
        <w:rPr>
          <w:b/>
        </w:rPr>
        <w:t>E. 5</w:t>
      </w:r>
    </w:p>
    <w:p>
      <w:r>
        <w:t>5.1.1. Selon l'art. 426 al. 1 CPP, le prévenu supporte les frais de procédure s'il est condamné. Si l'autorité de recours rend une nouvelle décision, elle se prononce également sur les frais fixés par l'autorité inférieure (art. 428 al. 3 CPP). 5.1.2.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oeuvre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 5.1.3.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ATF 116 Ia 162 consid. 2c p. 168 ss). Le but est d'éviter que l'État doive assumer les frais d'une enquête ouverte en raison d'un comportement fautif d'un justiciable, ce qui serait insatisfaisant et même choquant (ATF 116 Ia 162 consid. 2d/bb p. 173). Le fardeau de la preuve incombe à l'Etat (arrêt du Tribunal fédéral 6B_380/2016 du 16 novembre 2016 consid. 6 et les références). Cette condamnation aux frais doit respecter la présomption d'innocence, consacrée par les art. 32 al. 1 Cst. et 6 par. 2 CEDH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et les références citées). 5.1.4. Outre l'art. 6 ch. 4 du règlement sur l'organisation de la police (ROPol) précité (cf consid. 2.2 supra ), la loi genevoise sur la police [LPol - F 1 05] entrée en vigueur le premier mai 2016 prévoit sous son art. 23 ch. 1 que les membres du personnel de la police ne peuvent exercer une activité incompatible avec la dignité de leur fonction ou qui peut porter préjudice à l'accomplissement des devoirs de service alors que l'art. 22 ch. 2 de la loi dispose que le port abusif de l'uniforme ou d'un accessoire de l'équipement est interdit. En outre, l'art. 9 al. 1 du règlement sur les cartes de légitimation attestant un pouvoir d'autorité [B 3 25.04], entré en vigueur le premier août 2012, prévoit quant à lui que les titulaires d'une carte de légitimation ne peuvent l'utiliser que dans l'exercice de leurs fonctions. 5.1.5.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6B_369/2018 du 7 février 2019 consid. 4.1 non publié in ATF 145 IV 90 ). 5.2.1. Dans le cas d'espèce, il est tout à fait manifeste que, pour bonne partie, la procédure pénale a été ouverte du fait de la présence incongrue et irrégulière de l'appelant au C______, lors d'une journée exclusivement réservée aux professionnels, à l'occasion de laquelle il s'est présenté et légitimé comme policier agissant dans le cadre de sa fonction et en faisant usage de sa carte de police, alors même qu'il était en congé et mû par son seul intérêt privé. Ce comportement est clairement contraire aux devoirs de sa charge et à la loi et au règlement sur le port abusif d'accessoires de l'équipement de policier. Cela étant, il convient de retenir que, de façon concomitante, le vol d'un [objet présenté] dans l'enceinte du C______, a manifestement contribué à amplifier notablement l'objet de la procédure pénale, étant toutefois relevé que l'appelant s'est involontairement trouvé sur les lieux mêmes de la disparition de [l'objet] et que c'est bien sa présence, contraire à ses obligations lors d'une journée fermée au public, et les explications peu convaincantes qu'il en a données sur place qui ont suscité l'ouverture de la procédure pénale à son encontre. Nonobstant, celle-ci a pris des proportions notables en rapport à la mise en prévention pour le vol dont il était suspecté principalement. Il convient en outre de tenir compte de l'infraction à la LArm pour laquelle l'appelant est reconnu coupable. Il y a ainsi lieu de mettre à sa charge un tiers des frais de la procédure de première instance, le solde étant laissé à la charge de l'Etat. 5.2.2. En appel, l'appelant obtient gain de cause pour l'essentiel. Partant, les frais pour la procédure d'appel, comprenant un émolument de CHF 1'500.- (art. 14 al. 1 let. e du règlement fixant le tarif des frais en matière pénale [RTFMP]), ainsi que l'émolument complémentaire de première instance lui seront imputés pour un quart, le solde étant laissé à la charge de l'Etat.</w:t>
      </w:r>
    </w:p>
    <w:p>
      <w:r>
        <w:rPr>
          <w:b/>
        </w:rPr>
        <w:t>E. 6</w:t>
      </w:r>
    </w:p>
    <w:p>
      <w:r>
        <w:t>6.1.1. Selon l'art. 429 al. 1 CPP, le prévenu bénéficiant d'un acquittement ou d'une ordonnance de classement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 L'autorité pénale examine d'office les prétentions du prévenu. Elle peut enjoindre à celui-ci de les chiffrer et de les justifier (art. 429 al. 2 CPP). Cette disposition s'applique aux voies de recours (y inclus l'appel) en vertu de l'art. 436 al. 1 CPP (arrêt du Tribunal fédéral 6B_74/2017 du 21 avril 2017 consid. 2.1). 6.1.2. En vertu de l'art. 430 al. 1 let. a CPP, l'autorité pénale peut réduire ou refuser l'indemnité pour les dépenses occasionnées par l'exercice raisonnable de ses droits de procédure ou la réparation du tort moral (art. 429 al. 1 CPP)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p. 357 ; arrêts du Tribunal fédéral 6B_548/2018 du 18 juillet 2018 consid. 1.1.2 ; 6B_385/2017 du 5 décembre 2017 consid. 2.1).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6B_300/2012 du 10 juin 2013 consid. 2.4 ; cf. Message relatif à l'unification du droit de la procédure pénale du 21 décembre 2005, FF 2006 1057, p. 1313). Il est donc concevable d'indemniser, dans une mesure réduite, le prévenu qui doit supporter l'ensemble des frais de justice (A. KUHN / Y. JEANNERET [éds.], Commentaire romand : Code de procédure pénale suisse, Bâle 2011, n. 5 ad art. 430 CPP). Lorsque la condamnation aux frais n'est que partielle, la réduction de l'indemnité devrait s'opérer dans la même mesure (arrêts du Tribunal fédéral 6B_548/2018 du 18 juillet 2018 consid. 1.1.2 ; 6B_1238/2017 du 12 avril 2018 consid. 2.1 ; 6B_385/2017 du 5 décembre 2017 consid. 2.1).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p. 357 ; arrêts du Tribunal fédéral 6B_548/2018 du 18 juillet 2018 consid. 1.1.2 ; 6B_1238/2017 du 12 avril 2018 consid. 2.1).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6.1.3. Les honoraires d'avocat se calculent selon le tarif local, à condition qu'ils restent proportionnés (N. SCHMID, op. cit., n. 7 ad art. 429). L'avocat mandaté par un client domicilié à l'étranger ne peut pas facturer de montant au titre de la TVA ( ACPR/402/2012 du 27 septembre 2012 consid. 3.).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op. cit.,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w:t>
      </w:r>
    </w:p>
    <w:p>
      <w:r>
        <w:rPr>
          <w:b/>
        </w:rPr>
        <w:t>E. 6.2</w:t>
      </w:r>
    </w:p>
    <w:p>
      <w:r>
        <w:t>En l'espèce, l'appelant conclut à l'octroi de CHF 8'083.46 (TVA incluse) pour l'activité de son ancien conseil et de CHF 11'700.- (9'525.- + 1'237.50 (préparation) + 937.50 (audience), hors TVA, plus CHF 150.- (déplacement). Il convient de relever que dans son courrier du 5 décembre 2018 adressé au MP, par lequel une indemnisation de CHF 24'250.40 était demandée après l'annonce du classement à venir, l'ancien conseil de l'appelant avait relevé que les audiences avaient été essentiellement, voire exclusivement consacrées à la question du vol. Malgré cela, la demande d'indemnisation portée devant le TP (après classement) était de CHF 42'954.10. La totalité des six audiences devant le MP où l'appelant a été assisté par un conseil ou un de ses collaborateurs a duré de l'ordre de 14 heures, dont six heures et demi avec la présence du conseil. Après le 5 décembre 2018, seule une audience de deux heures est intervenue le 25 février 2019. Selon le relevé d'activités, outre les heures de préparation d'audience et d'étude du dossier, jusqu'au 5 décembre 2018, de multiples contacts sont intervenus avec le client, les conférences ont duré environ neuf heures, ceci sans compter les heures des collaborateurs, essentiellement des emails ou des téléphones, outre la participation à des audiences. Il paraît raisonnable d'admettre qu'un quart de l'activité jusqu'au 5 décembre a porté sur la question de l'abus d'autorité et de l'infraction à la LArm. Par ailleurs, la dernière audience au MP en février 2019, d'une durée de deux heures, a pu ne porter que sur la question de l'abus d'autorité vu le classement partiel alors déjà annoncé et il y a lieu de prendre en compte la préparation à l'audience précitée et à celle du TP (huit heures annoncées), qui elle-même qui a duré environ trois heures plus l'activité diverse des collaborateurs. Bien que certaines de ces durées apparaissent quelque peu excessives en regard des faits de la cause encore à trancher, le montant requis de CHF 8'083.46 apparaît raisonnable et sera partiellement accordé en lien avec la répartition des frais mis à charge de l'appelant. S'agissant du relevé d'activité de son conseil actuel (21h10), elle paraît conforme, sous la réserve que les 12 heures et 45 minutes d'activités entre le 25 et le 26 août 2020 pour conférence, étude du dossier et préparation de la plaidoirie, auxquels il faudrait encore ajouter deux heures 45 minutes de préparation, apparaissent excessifs en regard des faits encore à trancher, une activité de dix heures étant suffisante à cet égard. L'activité prise en compte sera ainsi de 18 heures et 25 minutes plus le temps d'audience de deux heures cinq minutes, soit 20 heures et 30 minutes, plus la TVA et l'indemnité de déplacement. En rapport à la répartition des frais, l'indemnité globale accordée à l'appelant pour l'exercice raisonnable de ses droits de procédure sera, à raison d'un tiers des frais d'enquête préliminaire et de première instance à sa charge, respectivement un quart des frais d'appel, de CHF 12'952.75, TVA comprise. Il sera pris acte de sa renonciation à tout tort moral.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