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P/15712/2022 vom 14. November 2025</w:t>
      </w:r>
    </w:p>
    <w:p>
      <w:r>
        <w:t>GE Cour de justice, 2025-11-14, FR</w:t>
      </w:r>
    </w:p>
    <w:p>
      <w:r>
        <w:rPr>
          <w:b/>
        </w:rPr>
        <w:t xml:space="preserve">Quelle: </w:t>
      </w:r>
      <w:r>
        <w:t>https://mcp.opencaselaw.ch/entscheid/ge_gerichte_P_15712_2022</w:t>
      </w:r>
    </w:p>
    <w:p>
      <w:r>
        <w:t>FR: GE_GERICHTE P/15712/2022 du 14 novembre 2025</w:t>
      </w:r>
    </w:p>
    <w:p>
      <w:r>
        <w:t>IT: GE_GERICHTE P/15712/2022 del 14 novembre 2025</w:t>
      </w:r>
    </w:p>
    <w:p>
      <w:pPr>
        <w:pStyle w:val="Heading2"/>
      </w:pPr>
      <w:r>
        <w:t>Regeste</w:t>
      </w:r>
    </w:p>
    <w:p>
      <w:r>
        <w:t>ESCROQUERIE;FAUX MATÉRIEL DANS LES TITRES | CP.146; CP.251; CPP.391.al2</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 il sera pris acte de son retrait.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147 IV 73 consid. 3.2 ; 142 IV 153 consid. 2.2.2 ; 135 IV 76 consid. 5.2). Dans un arrêt de principe relatif à un crédit COVID-19, le Tribunal fédéral a affirmé qu'une tromperie astucieuse était réalisée dès lors que le requérant indiquait un chiffre d'affaires contraire à la vérité dans le formulaire de demande de crédit COVID-19. Ces crédits avaient été conçus comme des aides immédiates aux PME, soumis à des dispositions spécifiques, subordonnés à des conditions précises et octroyés sur le fondement d'une déclaration sur l'honneur. Dans ces conditions particulières, la simple remise de fausses informations constituait dès lors une tromperie astucieuse, indépendamment de l'existence ou non d'un rapport de confiance avec la banque qui l'octroyait. Non seulement la vérification des informations fournies par l'auteur n'était pas prévue, mais elle était également impossible à certains égards, si l'on pensait en particulier à l'influence de la pandémie sur le chiffre d'affaires (ATF 150 IV 169 consid. 5.1.4). Cette jurisprudence a depuis lors été confirmée à plusieurs reprises (arrêt du Tribunal fédéral 6B_394/2024 du 7 avril 2025 consid. 2.3.2 ; 6B_1265/2023 du 7 avril 2025 consid. 7.1.3 ; 6B_262/2024 du 27 novembre 2024 consid. 1.6.2). Dans ce contexte, le dommage patrimonial est subi par la coopérative du cautionnement solidaire qui s'est portée garante du remboursement du crédit COVID-19, raison pour laquelle il y a ce que l'on appelle une fraude triangulaire (arrêt du Tribunal fédéral 6B_95/2024 du 6 février 2025 consid. 3.2.7). Le dommage se produit au moment de la conclusion du contrat de crédit, de sorte qu'il est indifférent que le "crédit COVID-19" soit ensuite remboursé (ATF 150 IV 169 consid. 5.2.2).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arrêt du Tribunal fédéral 7B_104/2023 du 13 janvier 2025 consid. 3.1.6). 2.1.2. L’interdiction de la reformatio in pejus, au sens de l'art. 391 al. 2 CPP, exclut toute modification défavorable au condamné, que celle-ci se traduise dans une situation de fait ou qu'elle se rapporte à des conditions juridiques (ATF 139 IV 282 consid. 2.5 ; Y. JEANNERET / A. KUHN / C. PERRIER DEPEURSINGE (éds), Commentaire romand : Code de procédure pénale suisse, 2 ème éd., Bâle 2019, n. 7 ad art. 391). 2.2.1. En l'espèce, l'octroi du crédit COVID-19 était fondé sur les informations fournies par l'appelant dans le formulaire idoine. Le jugement entrepris retient que l'appelant pouvait de bonne foi penser que l'estimation de son chiffre d'affaires s'élevait au montant indiqué. Au vu des circonstances, il était du reste peu probable qu'il l’eût inventé. Le TP a ainsi acquitté le prévenu de l'infraction de faux dans les titres, laquelle faute de caractère intentionnellement mensonger du fait articulé, en l'occurrence le chiffre d'affaires. Ce raisonnement tel que posé par le premier juge est acquis à l'appelant, en vertu du principe de l'interdiction de la reformatio in pejus. Il ne peut dès lors plus être affirmé que le prévenu a sciemment articulé un chiffre d'affaires contraire à la vérité pour obtenir l’octroi du prêt. Il ne ressort pas du dossier que d'autres informations livrées par l'appelant afin d'obtenir le crédit pourraient être considérées comme mensongères de sorte que l’élément constitutif objectif de la tromperie astucieuse n’est pas réalisé. Aussi, le prévenu doit-il être acquitté du chef d'escroquerie (art. 146 al. 1 CP). 2.2.2. On relèvera qu’on eût pu se demander si l’usage qu’il a fait d’une partie des fonds ne relève pas de l’abus de confiance au sens de l’art. 138 ch. 1 al. 2 CP, dès lors que ses explications quant aux frais de représentation dans des établissements publics peinent à convaincre tant la différence entre la période antérieure et celle postérieure à la conclusion du prêt est flagrante. En outre, il est évident qu’offrir un repas à des employés ensuite de la déconfiture de la société n’entrait pas dans les fins d’un prêt COVID-19, peu importe le caractère sympathique du geste. Les sommes en cause semblent donc bien avoir été dépensées de manière non conforme à la convention de crédit. Cela étant, l’ordonnance pénale qui tient lieu d’acte d’accusation n’appréhende pas les faits sous cet angle (art. 9 et 325 CPP), sans préjudice de ce que les conditions d'application de l'art. 53 CP paraissaient remplies, vu notamment le remboursement de l'intégralité du prêt par l'appelant.</w:t>
      </w:r>
    </w:p>
    <w:p>
      <w:r>
        <w:rPr>
          <w:b/>
        </w:rPr>
        <w:t>E. 3</w:t>
      </w:r>
    </w:p>
    <w:p>
      <w:r>
        <w:t>2. Il est pris acte de ce que l'appelant a renoncé à toute indemnisation (art. 429 et 436 CPP). * * * * *</w:t>
      </w:r>
    </w:p>
    <w:p>
      <w:r>
        <w:rPr>
          <w:b/>
        </w:rPr>
        <w:t>E. 3.1</w:t>
      </w:r>
    </w:p>
    <w:p>
      <w:r>
        <w:t>Vu l’issue de la cause, les frais de la procédure demeurent à la charge de l'État (art. 426 al. 1 et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