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P/15709/2012 vom 18. Juni 2013</w:t>
      </w:r>
    </w:p>
    <w:p>
      <w:r>
        <w:t>GE Cour de justice, 2013-06-18, FR</w:t>
      </w:r>
    </w:p>
    <w:p>
      <w:r>
        <w:rPr>
          <w:b/>
        </w:rPr>
        <w:t xml:space="preserve">Quelle: </w:t>
      </w:r>
      <w:r>
        <w:t>https://mcp.opencaselaw.ch/entscheid/ge_gerichte_P_15709_2012</w:t>
      </w:r>
    </w:p>
    <w:p>
      <w:r>
        <w:t>FR: GE_GERICHTE P/15709/2012 du 18 juin 2013</w:t>
      </w:r>
    </w:p>
    <w:p>
      <w:r>
        <w:t>IT: GE_GERICHTE P/15709/2012 del 18 giugno 2013</w:t>
      </w:r>
    </w:p>
    <w:p>
      <w:pPr>
        <w:pStyle w:val="Heading2"/>
      </w:pPr>
      <w:r>
        <w:t>Regeste</w:t>
      </w:r>
    </w:p>
    <w:p>
      <w:r>
        <w:t>MENDICITÉ; DROIT FONDAMENTAL | CEDH.10.1; CEDH.10.2; CEDH.8; LPG.11A; Cst.8.2; Cst.36.3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 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w:t>
      </w:r>
    </w:p>
    <w:p>
      <w:r>
        <w:t>2.1 L’appelante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juridiction d'appel n’est pas liée par la décision autrichienne citée par l’appelante. Au demeurant, la mendicité suppose en principe un comportement actif consistant à réclamer de l’argent aux passants en les interpellant et en leur tendant parfois un gobelet, comme c'était le cas en l'espèce. En tout état de cause, le Tribunal fédéral a retenu que l’art. 11A LPG constituait une base légale suffisante pour interdire toute mendicité (ATF 134 I 214 , consid. 5.5). Cette interdiction n’empêche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Dans un deuxième moyen, l’appelante se plaint d'être victime d'un traitement discriminatoire en raison de sa situation sociale et de son origine.</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du Tribunal fédéral 6B_31/2012 du 17 août 2012, consid. 3.2). En matière de discrimination, même lorsque le fardeau de la preuve est allégé, il incombe à celui qui allègue une discrimination de la rendre tout au moins vraisemblable ( ibid ). 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l'appelante.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L'appelante fait aussi valoir que la norme litigieuse consacre une discrimination sociale, dans la mesure où elle vise de manière prépondérante les pauvres et contribue à les stigmatiser. Il est douteux que le dénuement de l'appelante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 Ce grief doit ainsi aussi être rejeté.</w:t>
      </w:r>
    </w:p>
    <w:p>
      <w:r>
        <w:rPr>
          <w:b/>
        </w:rPr>
        <w:t>E. 4</w:t>
      </w:r>
    </w:p>
    <w:p>
      <w:r>
        <w:t>L'appelante invoque une restriction injustifiée à sa liberté personnelle et une atteinte à sa dignité humaine (art. 7, 10 et 36 al. 3 Cst. et 8 CEDH), son extrême pauvreté la contraignant à demander l'aumône. Dans l'arrêt 6B_31/2012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 La personne qui, par cupidité ou fainéantise, mendie ou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w:t>
      </w:r>
    </w:p>
    <w:p>
      <w:r>
        <w:rPr>
          <w:b/>
        </w:rPr>
        <w:t>E. 5.2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 du Tribunal fédéral 6B_31/2012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a quémandé de l'argent aux passants, en leur tendant un gobelet. Son comportement correspond ainsi au sens le plus clair et le plus littéral de la norme. Le grief est donc infondé.</w:t>
      </w:r>
    </w:p>
    <w:p>
      <w:r>
        <w:rPr>
          <w:b/>
        </w:rPr>
        <w:t>E. 6</w:t>
      </w:r>
    </w:p>
    <w:p>
      <w:r>
        <w:t>Entièrement mal fondé, l'appel sera rejeté. L'appelante, qui succombe, supportera les frais de la procédure envers l'État (art. 428 CPP et art. 14 al. 1 let. e du Règlement fixant le tarif des frais en matière pénale [RS/GE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