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P/15699/2020 vom 2. Oktober 2020</w:t>
      </w:r>
    </w:p>
    <w:p>
      <w:r>
        <w:t>GE Cour de justice, 2020-10-02, FR</w:t>
      </w:r>
    </w:p>
    <w:p>
      <w:r>
        <w:rPr>
          <w:b/>
        </w:rPr>
        <w:t xml:space="preserve">Quelle: </w:t>
      </w:r>
      <w:r>
        <w:t>https://mcp.opencaselaw.ch/entscheid/ge_gerichte_P_15699_2020</w:t>
      </w:r>
    </w:p>
    <w:p>
      <w:r>
        <w:t>FR: GE_GERICHTE P/15699/2020 du 2 octobre 2020</w:t>
      </w:r>
    </w:p>
    <w:p>
      <w:r>
        <w:t>IT: GE_GERICHTE P/15699/2020 del 2 ottobre 2020</w:t>
      </w:r>
    </w:p>
    <w:p>
      <w:pPr>
        <w:pStyle w:val="Heading2"/>
      </w:pPr>
      <w:r>
        <w:t>Regeste</w:t>
      </w:r>
    </w:p>
    <w:p>
      <w:r>
        <w:t>CONTRAINTE(DROIT PÉNAL);SÉQUESTRE(LP) | CPP.310; CP.181</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est constaté que le recourant ne remet pas en cause l'ordonnance de non-entrée en matière querellée s'agissant des infractions d'escroquerie, de diffamation et de calomnie dénoncées, celui-ci ne développant aucun argument en droit à ce propos. Ces points n'apparaissant plus litigieux, ils ne seront pas examinés plus avant dans le présent arrêt (art. 385 al. 1 let. a CPP).</w:t>
      </w:r>
    </w:p>
    <w:p>
      <w:r>
        <w:rPr>
          <w:b/>
        </w:rPr>
        <w:t>E. 4</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le grief du recourant y relatif sera rejeté.</w:t>
      </w:r>
    </w:p>
    <w:p>
      <w:r>
        <w:rPr>
          <w:b/>
        </w:rPr>
        <w:t>E. 5</w:t>
      </w:r>
    </w:p>
    <w:p>
      <w:r>
        <w:t>Le recourant reproche au Ministère public d'avoir considéré que les éléments constitutifs de la contrainte n'étaient pas réalisés.</w:t>
      </w:r>
    </w:p>
    <w:p>
      <w:r>
        <w:rPr>
          <w:b/>
        </w:rPr>
        <w:t>E. 5.1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consid. 2.2.1; arrêt du Tribunal fédéral 6B_1047/2019 du 15 janvier 2020 consid. 3.1).</w:t>
      </w:r>
    </w:p>
    <w:p>
      <w:r>
        <w:rPr>
          <w:b/>
        </w:rPr>
        <w:t>E. 5.2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 2e éd. Bâle 2019, n. 9 ad art. 310; R. PFISTER-LIECHTI (éd.), La procédure pénale fédérale, Fondation pour la formation continue des juges suisses , Berne 2010, p. 62).</w:t>
      </w:r>
    </w:p>
    <w:p>
      <w:r>
        <w:rPr>
          <w:b/>
        </w:rPr>
        <w:t>E. 5.3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6</w:t>
      </w:r>
    </w:p>
    <w:p>
      <w:r>
        <w:t>6.1.1.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 6.1.2.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ATF 137 IV 326 consid. 3.3.1 ; ATF 134 IV 216 consid. 4.1 ; ATF 120 IV 17 consid. 2a/bb). 6.1.3.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6.2</w:t>
      </w:r>
    </w:p>
    <w:p>
      <w:r>
        <w:t>En l'espèce, le recourant considère que la requête de séquestre déposée devant le TPI par son épouse le 14 août 2020 constitue un moyen de contrainte illicite visant à lui faire payer une somme d'argent qu'il ne doit pas. Son raisonnement ne peut être suivi. En effet, le moyen utilisé par son épouse - soit le dépôt d'une requête de séquestre - est conforme à la Loi fédérale sur la poursuite pour dettes et faillites (LP; RS 281.1). S'agissant du but poursuivi, il apparaît que la mise en cause, qui était au bénéfice d'un titre exécutoire - soit l'arrêt de la Cour de justice ( ACJC/797/2020 ) du 9 juin 2020 - a uniquement cherché à obtenir le paiement d'un montant de CHF 39'843.15, à titre d'arriérés de pensions et d'allocations familiales, qu'elle estimait légitime et lui être dû. Il ressort, en outre, du dossier que ce n'est qu'au terme d'un échange de correspondances entre les parties et en raison de l'échec de la mise en demeure adressée au recourant le 6 août 2020, que la mise en cause a déposé la requête de séquestre. Ainsi, en initiant la procédure usuelle de recouvrement d'une prétention pécuniaire, même éventuellement infondée, la mise en cause a agi de manière proportionnée et licite. Aussi, et compte tenu des circonstances qui précèdent, on ne décèle, de la part de cette dernière, aucune intention caractérisée de nuire au recourant, en portant atteinte à sa liberté d'action. Pour le surplus, le fait que ce dernier conteste le montant de la créance n'est pas déterminant. Toute autre réponse aurait en effet pour conséquence d'entraver, voire de paralyser, sous couvert de contrainte pénalement qualifiée, le recouvrement forcé d'une créance au motif qu'elle est contestée. Tel ne peut être le but de l'art. 181 CP. En tout état de cause, il ressort du dossier que le recourant a versé sur le compte bancaire de la mise en cause les sommes de CHF 17'786.- le 18 août 2020 et de CHF 600.- le 19 suivant, soit à des dates postérieures au dépôt de la requête de séquestre, ce qui tend à démontrer que la démarche entreprise par la mise en cause ne constituait pas un moyen de pression abusif, que le recourant ait ou non eu connaissance de ladite requête. Il existe donc, sur le plan pénal, un lien suffisant entre la créance invoquée par la mise en cause et le montant réclamé, sans qu'il n'appartienne aux autorités pénales de décider si ladite créance est fondée ou non, cette question relevant exclusivement de la compétence des juridictions civiles. Le fait que le TPI, dans son jugement du 21 décembre 2020, soit parvenu à la conclusion que l'assiette du séquestre devait être réduite ne signifie pas que la démarche de la mise en cause était illicite au sens du droit pénal. Partant, c'est à juste titre que le Ministère public a retenu que le procédé - licite - utilisé par la mise en cause pour recouvrer la créance qu'elle estimait être la sienne n'est pas un moyen de pression abusif, au sens de la jurisprudence relative à l'art. 181 CP. Ainsi, faute de prévention pénale suffisante, c'est à bon droit qu'il a renoncé à entrer en matière et aucune mesure d'instruction ne paraît être à même de modifier ce constat. Le recourant n'en dit mot, d'ailleurs.</w:t>
      </w:r>
    </w:p>
    <w:p>
      <w:r>
        <w:rPr>
          <w:b/>
        </w:rPr>
        <w:t>E. 7</w:t>
      </w:r>
    </w:p>
    <w:p>
      <w:r>
        <w:t>Justifiée, l'ordonnance querellée sera donc confirmée.</w:t>
      </w:r>
    </w:p>
    <w:p>
      <w:r>
        <w:rPr>
          <w:b/>
        </w:rPr>
        <w:t>E. 8</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