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P/15655/2018 vom 17. Juli 2019</w:t>
      </w:r>
    </w:p>
    <w:p>
      <w:r>
        <w:t>GE Cour de justice, 2019-07-17, FR</w:t>
      </w:r>
    </w:p>
    <w:p>
      <w:r>
        <w:rPr>
          <w:b/>
        </w:rPr>
        <w:t xml:space="preserve">Quelle: </w:t>
      </w:r>
      <w:r>
        <w:t>https://mcp.opencaselaw.ch/entscheid/ge_gerichte_P_15655_2018</w:t>
      </w:r>
    </w:p>
    <w:p>
      <w:r>
        <w:t>FR: GE_GERICHTE P/15655/2018 du 17 juillet 2019</w:t>
      </w:r>
    </w:p>
    <w:p>
      <w:r>
        <w:t>IT: GE_GERICHTE P/15655/2018 del 17 luglio 2019</w:t>
      </w:r>
    </w:p>
    <w:p>
      <w:pPr>
        <w:pStyle w:val="Heading2"/>
      </w:pPr>
      <w:r>
        <w:t>Regeste</w:t>
      </w:r>
    </w:p>
    <w:p>
      <w:r>
        <w:t>DÉNONCIATION CALOMNIEUSE | cpp.382; cpp.147; cpp.107; cpp.310; cp.303.al1.ch1</w:t>
      </w:r>
    </w:p>
    <w:p>
      <w:pPr>
        <w:pStyle w:val="Heading2"/>
      </w:pPr>
      <w:r>
        <w:t>Erwägungen</w:t>
      </w:r>
    </w:p>
    <w:p>
      <w:r>
        <w:rPr>
          <w:b/>
        </w:rPr>
        <w:t>E. 26</w:t>
      </w:r>
    </w:p>
    <w:p>
      <w:r>
        <w:t>février 2018 ( cf. let. c supra ), le Syndicat D______ et A______ ont déposé, chacun, une plainte contre B______ et C______ SA pour dénonciation calomnieuse, exposant que, dès lors que le Ministère public avait établi qu'ils avaient apporté la preuve de la vérité de leurs affirmations, les faits exposés par B______ dans sa plainte du 19 octobre 2017 étaient faux. g. Entendu par la police le 7 mai 2019, B______ a, en substance, expliqué avoir déposé plainte pénale contre le Syndicat D______ car ce dernier avait sali sa réputation et celle de sa société dans les médias, engendrant une importante baisse de son chiffre d'affaires. Seul le nom de sa société avait été cité, alors même que le syndicat accusait également une seconde entreprise d'irrégularités. Son but était alors de blanchir sa réputation et celle de sa société. Sa plainte était dirigée contre le syndicat et non contre A______, qu'il ne connaissait pas. Il a précisé que C______ SA avait effectivement été condamnée pour violation de la CCT lorsque sa comptabilité était gérée par une fiduciaire mal renseignée sur la convention de G______, ce qui avait engendré des erreurs, rectifiées depuis. Ces infractions avaient été commises environ un an [avant la distribution des tracts]. Sa société n'avait, en revanche, pas eu recours à du "travail au noir" . C. Dans l'ordonnance querellée, le Ministère public a considéré que l'intention du prévenu était exclusivement de protéger la réputation de son entreprise et de soumettre à la justice le comportement du Syndicat D______, qu'il estimait - à tort - illégal, et non de diffamer, voire même de calomnier ce syndicat. Ainsi, l'élément constitutif subjectif des infractions de dénonciation calomnieuse (art. 303 ch. 1 CP), voire de diffamation (art. 173 ch. 1 CP) et de calomnie (art. 174 ch. 1 CP) faisait défaut. D. a. Dans son recours, A______ soutient que B______ l'avait accusée, aux côtés du syndicat D______, de propager des informations fausses et diffamatoires sur le non-respect des conditions légales de travail dans le secteur G______ par C______ SA, alors que cette société avait été condamnée à plusieurs reprises par la H______ et fait l'objet d'une exclusion par I______, contre laquelle elle n'avait pas recouru. Le Ministère public aurait dû instruire la cause, les seules déclarations d'un prévenu ne pouvant suffire à balayer tout soupçon et refuser d'entrer en matière sur une plainte pénale. En outre, son droit d'être entendue avait été violé, le prévenu ayant été auditionné hors de sa présence et le Ministère public ayant mis un terme à la procédure sans qu'elle n'ait pu se déterminer sur les déclarations de B______, ni proposer de nouvelles preuves. b. À réception des sûretés, la cause a été gardée à juger sans échange d'écritures ni débats. EN DROIT : 1. 1.1. Le recours a été déposé selon la forme et dans le délai prescrits (art. 385 al. 1 et 396 al. 1 CPP) et concerne une ordonnance sujette à recours auprès de la Chambre de céans (art. 393 al. 1 let. a CPP). 1.2. Aux termes de l'art. 382 al. 1 CPP, toute partie qui a un intérêt juridiquement protégé à l'annulation ou à la modification d'une décision a qualité pour recourir contre celle-ci. Si la partie plaignante dispose en principe de cette qualité, encore faut-il qu'elle puisse se prévaloir d'un préjudice résidant, a priori, dans l'existence d'une décision judiciaire la concernant et soit touchée par celle-ci (A. KUHN / Y. JEANNERET (éds), Commentaire romand : Code de procédure pénale suisse , Bâle 2011, n. 3 ad art. 382). En l'espèce, la plainte pénale litigieuse était dirigée contre le syndicat D______, ainsi que " tous ses membres ayant participé aux faits reprochés" . Il n'apparaît donc pas certain, de prime abord, que la recourante était personnellement visée par la plainte pénale litigieuse. Cette question peut toutefois demeurer ouverte, le recours devant, quoi qu'il en soit, être rejeté. 2. La Chambre pénale de recours peut décider d'emblée de traiter sans échange d'écritures ni débats les recours manifestement irrecevables ou mal fondés (art. 390 al. 2 et 5 a contrario CPP). Tel est le cas en l'occurrence, au vu des considérations qui suivent. 3. La recourante se plaint d'une violation de son droit d'être entendue, dès lors qu'elle n'a pas participé à l'administration des preuves et à l'audition du mis en cause avant que le Ministère public ne rende l'ordonnance querellée. 3.1.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Le droit de participer et de collaborer aux actes de procédure découle du droit d'être entendu (art. 107 al. 1 let. b CPP). Ce droit ne peut être restreint que si des dispositions légales (cf. les art. 108, 146 al. 4 et 149 al. 2 et. b CPP ; voir aussi l'art. 101 al. 1 CPP) le permettent (ATF 139 IV 25 précité consid. 4.2 p.29 et ATF 141 IV 220 consid. 4.4). Le droit d'être entendu, consacré par l'art. 107 CPP, n'est pas accordé aux parties dans le cadre de l'ordonnance de non-entrée en matière. Ainsi, ce droit pourra être assuré dans le cadre de la procédure de recours (L. MOREILLON / A. PAREIN-REYMOND, Petit commentaire CPP , Bâle 2016, N. 20 ad art. 310). 3.2. Avant de rendre une ordonnance de non-entrée en matière, le ministère public n'a pas à informer les parties ni n'a l'obligation de leur fixer un délai pour présenter d'éventuelles réquisitions de preuve.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arrêt du Tribunal fédéral 6B_673/2019 du 31 octobre 2019 consid. 2.2. et les arrêts cités). 3.3. En l'espèce, en tant que la recourante fait grief au Ministère public d'avoir violé son droit d'être entendue, il tombe à faux, les réquisits des art. 107 et 147 CPP ne s'appliquant pas dans le contexte d'une décision de non-entrée en matière. 4. La recourante reproche au Ministère public de ne pas être entré en matière sur les faits dénoncés dans sa plainte pénale. 4.1. 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4.2. L'art. 303 ch. 1 al. 1 CP réprime le comportement de celui qui aura dénoncé à l'autorité, comme auteur d'un crime ou d'un délit, une personne qu'il savait innocente, en vue de faire ouvrir contre elle une poursuite pénale.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Celui qui admet que sa dénonciation est peut-être fausse ne sait pas innocente la personne dénoncée (ATF 136 IV 170 consid. 2.1 p. 176).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 Par ailleurs, l'auteur doit agir en vue de faire ouvrir une poursuite pénale contre la personne qu'il accuse injustement. Le dol éventuel suffit quant à cette volonté de faire ouvrir une poursuite pénale (ATF 85 IV 83 ). La preuve de l'intention de l'auteur doit être soumise à des exigences élevées (M. NIGGLI / H. WIPRÄCHTIGER, Basler Kommentar Strafrecht II : Art. 111-392 StGB , 3 ème éd., Bâle 2013, n. 25 ad art. 303 CP). 4.3. En l'espèce, le tract de D______ accusait notamment C______ SA d'employer des personnes "au noir", ce que conteste le mis en cause, qui a dénoncé les faits pour rétablir sa réputation et celle de sa société. Or, force est de constater qu'au moment du dépôt de la plainte pénale par le mis en cause, le 19 octobre 2017, aucune décision ne constatait que C______ SA employait des personnes sans permis de travail. Tel n'est toujours pas le cas, à teneur du dossier. Une décision selon laquelle il aurait tardivement annoncé une employée à la caisse AVS compétente, a été rendue ultérieurement, le 15 décembre 2017. D'ailleurs, contrairement à ce qu'allègue la recourante, la véracité des accusations exprimées dans le tract de D______ n'a pas été confirmée, puisque l'arrêt de la Chambre de céans du 28 février 2019 a été rendu par substitution de motifs, la plainte du mise en cause contre le syndicat étant jugée tardive. Aucun élément du dossier ne vient ainsi étayer le fait que le prévenu aurait voulu, en déposant sa plainte pénale, dénoncer la recourante comme auteur d'une infraction, alors qu'il la savait innocente. Les éléments constitutifs de l'infraction n'étant pas réunis, le prononcé d'une ordonnance de non-entrée en matière se justifiait. 5. L'ordonnance querellée sera donc confirmée. 6. La recourante, qui succombe, supportera les frais envers l'État, qui seront fixés en totalité à CHF 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