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P/15649/2017 vom 29. Mai 2018</w:t>
      </w:r>
    </w:p>
    <w:p>
      <w:r>
        <w:t>GE Cour de justice, 2018-05-29, FR</w:t>
      </w:r>
    </w:p>
    <w:p>
      <w:r>
        <w:rPr>
          <w:b/>
        </w:rPr>
        <w:t xml:space="preserve">Quelle: </w:t>
      </w:r>
      <w:r>
        <w:t>https://mcp.opencaselaw.ch/entscheid/ge_gerichte_P_15649_2017</w:t>
      </w:r>
    </w:p>
    <w:p>
      <w:r>
        <w:t>FR: GE_GERICHTE P/15649/2017 du 29 mai 2018</w:t>
      </w:r>
    </w:p>
    <w:p>
      <w:r>
        <w:t>IT: GE_GERICHTE P/15649/2017 del 29 maggio 2018</w:t>
      </w:r>
    </w:p>
    <w:p>
      <w:pPr>
        <w:pStyle w:val="Heading2"/>
      </w:pPr>
      <w:r>
        <w:t>Regeste</w:t>
      </w:r>
    </w:p>
    <w:p>
      <w:r>
        <w:t>FIXATION DE LA PEINE ; DISPOSITIONS PÉNALES DE LA LSTUP ; COMMERCE DE STUPÉFIANTS ; ANTÉCÉDENT ; RÉCIDIVE(INFRACTION) ; CONCOURS D'INFRACTIONS | LStup.19.al1; LStup.19.al2.leta; LEtr.115.al1.leta; LEtr.115.al1.letb; CP.47</w:t>
      </w:r>
    </w:p>
    <w:p>
      <w:pPr>
        <w:pStyle w:val="Heading2"/>
      </w:pPr>
      <w:r>
        <w:t>Erwägungen</w:t>
      </w:r>
    </w:p>
    <w:p>
      <w:r>
        <w:rPr>
          <w:b/>
        </w:rPr>
        <w:t>E. 1.1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notamment la quotité de la peine (art. 399 al. 4 let. b CPP). L'appel suspend la force de chose jugée du jugement attaqué dans les limites des points contestés (art. 402 CPP). En cas d'appel partiel, les points non attaqués du jugement entrent en force à la date à laquelle le jugement de première instance a été rendu et ne peuvent plus être contestés (L. MOREILLON / A. PAREIN-REYMOND, Petit commentaire CPP , Bâle 2016, ad art. 402 CPP, n. 1 et 4 et les références citées). La Chambre limite son examen aux violations décrites dans l'acte d'appel (art. 404 al. 1 CPP), sauf en cas de décisions illégales ou inéquitables (art. 404 al. 2 CPP).</w:t>
      </w:r>
    </w:p>
    <w:p>
      <w:r>
        <w:rPr>
          <w:b/>
        </w:rPr>
        <w:t>E. 1.2</w:t>
      </w:r>
    </w:p>
    <w:p>
      <w:r>
        <w:t>En l'occurrence, l'appel ne porte que sur la fixation de la peine, de sorte que le verdict de culpabilité rendu par le Tribunal correctionnel le 11 décembre 2017 est entré en force.</w:t>
      </w:r>
    </w:p>
    <w:p>
      <w:r>
        <w:rPr>
          <w:b/>
        </w:rPr>
        <w:t>E. 2</w:t>
      </w:r>
    </w:p>
    <w:p>
      <w:r>
        <w:t>2.1.1.1. Selon l'art. 19 al. 2 let. a LStup, l'auteur sera puni d'une peine privative de liberté d'un an au moins, cette sanction pouvant être cumulée avec une peine pécuniaire, s'il sait ou ne peut ignorer que l'infraction peut directement ou indirectement mettre en danger la santé de nombreuses personnes. 2.1.1.2. A teneur de l'art. 115 al. 1 let. a et b LEtr, est passible d'une peine privative de liberté d'un an au plus ou d'une peine pécuniaire quiconque contrevient aux dispositions sur l'entrée en Suisse (let. a), de même que quiconque séjourne illégalement en Suisse, notamment après l'expiration de la durée du séjour non soumis à autorisation ou du séjour autorisé (let. b). 2.1.2.1.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p. 66 s. ; ATF 136 IV 55 consid. 5 p. 57 ss ; ATF 134 IV 17 consid. 2.1 p. 19 ss ; ATF 129 IV 6 consid. 6.1 p. 20). L'art. 47 CP confère un large pouvoir d'appréciation au juge.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p. 61 ; arrêts du Tribunal fédéral 6B_326/2016 du 22 mars 2017 consid. 4.1 ; 6B_1249/2014 du 7 septembre 2015 consid. 1.2). 2.1.2.2. Bien que la récidive ne constitue plus un motif d'aggravation obligatoire de la peine (art. 67 aCP), les antécédents continuent de jouer un rôle très important dans la fixation de celle-ci (M. NIGGLI / H. WIPRÄCHTIGER (éds) , Basler Kommentar Strafrecht I : Art. 1-110 StGB, Jugendstrafgesetz ,</w:t>
      </w:r>
    </w:p>
    <w:p>
      <w:r>
        <w:rPr>
          <w:b/>
        </w:rPr>
        <w:t>E. 2.2</w:t>
      </w:r>
    </w:p>
    <w:p>
      <w:r>
        <w:t>En l'espèce, la faute de l'appelant est lourde. Il a mis en danger la santé de nombreuses personnes et n'a pas hésité à violer l'interdiction d'entrée en Suisse qui lui avait été signifiée puis séjourner à Genève pour favoriser le trafic de cocaïne auquel il participait. Il a manifesté ainsi un mépris caractérisé à l'égard de la législation en vigueur en Suisse. Son mobile était égoïste, l'intéressé ayant agi par convenance personnelle et par appât du gain facile. Ses explications quant à sa situation personnelle ne convainquent pas. En effet, il n'est pas vraisemblable que ses multiples déplacements entre Genève et E______ soient liés à la recherche d'un emploi, dès lors qu'au vu de l'insuccès prétendument rencontré de façon répétitive, selon lui, l'on ne s'explique pas son insistance à dépenser de l'argent pour voyager à Genève en avion alors même qu'il explique être sans aucun revenu. A cela s'ajoute le fait qu'il savait pertinemment être en situation illégale en Suisse, vu l'interdiction d'entrée non échue dont il faisait l'objet, ce qui rend d'autant plus difficile à comprendre le fait que Genève eût été une destination privilégiée alors qu'il ne pouvait y rencontrer qu'un échec dans une recherche d'emploi légale, contrairement à l'ensemble de l'Europe, vu sa nationalité E______. En outre, l'appelant a expliqué à la Cour de céans être en mesure de trouver un emploi en E______, vu son expérience professionnelle et la qualité de ses relations, ce qui rend également ses explications contradictoires. Son rôle dans le trafic de cocaïne était manifestement bien supérieur à celui d'un simple transporteur, dans la mesure où il a recruté C______, a payé ses billets d'avion, l'a personnellement rémunéré dans le cadre du premier voyage, a réservé l'hôtel où ce dernier devait demeurer, lui a remis la cocaïne à E______ lors du second transport de juillet, est venu récupérer la drogue à l'hôtel en juin 2017 et l'a ensuite remise à des tiers, ce qu'il allait également faire en juillet. Contrairement à son comparse, il n'a pris aucun risque au moment le plus critique, soit celui du transport international de la drogue, ce qui témoigne encore une fois d'une position plus élevée dans le trafic. Alors qu'il apparaît comme un personnage central dans l'organisation de ce trafic de cocaïne, ses explications quant à une rémunération de EUR 400.- à chaque voyage ne sont pas plus crédibles, notamment au vu de son expérience dans le domaine, son avocat ayant plaidé qu'il avait été reconnu comme un " chef " lors de sa précédente condamnation en 2014. Au vu de ce qui précède et de son rôle, alors même qu'il devait prendre possession de la drogue à Genève, ses explications d'être une humble " petite main " sont inconsistantes. Il y a lieu de relever, qu'au contraire, il apparaît comme un élément " moteur " du trafic. Sa qualité de père, déjà effective lors de sa condamnation de 2014, ne l'a nullement empêché de réitérer en juin, puis en juillet 2017 après la naissance de son dernier enfant, de sorte que l'on ne saurait attribuer à cet évènement la motivation essentielle de ses actes. Les regrets qu'il a exprimés paraissent ainsi largement de circonstance. Sans avoir été mauvaise, la collaboration de l'appelant à l'enquête n'a pas été particulièrement bonne. Il a tout d'abord nié intégralement les faits. Mis en difficulté par la police sur les éléments ressortant de l'application WhatsApp et la vidéosurveillance à l'hôtel concernant le premier transport, il est ensuite devenu confus avant de déclarer qu'il s'exprimerait face au MP et après en avoir parlé avec son avocat, ce qui lui a laissé le temps de réfléchir. Certes, il a admis ensuite ce premier transport mais au vu des éléments de l'enquête, et notamment des images et conversations, il pouvait difficilement en être autrement. En outre, l'appelant a manifestement cherché à minimiser son rôle et ses actes. A cet égard, au vu de ses mensonges, l'on ne peut même pas parler d'une ébauche de prise de conscience du caractère répréhensible de son comportement, notamment en regard de son antécédent significatif. Ce dernier est spécifique, et relativement récent, le délai d'épreuve de sa libération conditionnelle ayant échu en novembre 2015. Un an et quelque sept mois plus tard, l'appelant a, à nouveau, organisé un trafic international de cocaïne sur deux transports distincts de plusieurs centaines de grammes de cocaïne. Il a manifesté ainsi une énergie criminelle renouvelée, ce qui est un facteur aggravant de la peine à prononcer. La responsabilité de l'appelant est entière et aucune des circonstances atténuantes prévues par l'art. 48 CP n'est réalisée ni d'ailleurs plaidée. Il y a concours d'infractions entre les différents actes commis, soit des infractions passibles de peine privative de liberté, le délit le plus grave en l'occurrence étant l'infraction grave à la LStup, étant relevé que l'infraction à la LEtr commise à de multiples reprises quant aux entrées et séjours illégaux, l'a bien été, à deux reprises à tout le moins, dans le but de commettre des infractions à la LStup. La cause citée par la défense n'est pas comparable avec la présente affaire, non seulement en regard du lourd antécédent de l'appelant mais également des autres critères de fixation de la peine. Globalement au vu des éléments précités, l'ensemble des faits commis par l'appelant justifie une peine sévère, vu son rôle, l'intensité réitérée de sa volonté délictuelle et l'absence de prise de conscience, malgré une condamnation spécifique antérieure. Il apparaît ainsi que le prononcé d'une peine privative de liberté de trois ans et neuf mois, tel que retenu par les premiers juges prend en compte dans des proportions adéquates la faute de l'appelant. Le jugement entrepris doit donc être intégralement confirmé.</w:t>
      </w:r>
    </w:p>
    <w:p>
      <w:r>
        <w:rPr>
          <w:b/>
        </w:rPr>
        <w:t>E. 3</w:t>
      </w:r>
    </w:p>
    <w:p>
      <w:r>
        <w:t>2. En revanche, il sera d'office procédé à la rectification des frais fixés par l'autorité de première instance, dans la mesure où il n'y a pas lieu de mettre à la charge de l'appelant un émolument complémentaire de CHF 3'000.- relatif à la motivation écrite du jugement au sens de l'art. 10 al. 2 RTFMP dès lors que l'art. 82 al. 1 let. b CPP prévoit que le tribunal de première instance ne peut renoncer à une telle motivation que s'il ne prononce pas une peine privative de liberté supérieure à deux ans.</w:t>
      </w:r>
    </w:p>
    <w:p>
      <w:r>
        <w:rPr>
          <w:b/>
        </w:rPr>
        <w:t>E. 3.1</w:t>
      </w:r>
    </w:p>
    <w:p>
      <w:r>
        <w:t>L'appelant, qui succombe, supportera les frais de la procédure d'appel envers l'Etat, comprenant un émolument de CHF 2'000.- (art. 428 CPP et art. 14 al. 1 let. e du Règlement fixant le tarif des frais en matière pénale du 22 décembre 2010 [RTFMP ; E 4 10.03]).</w:t>
      </w:r>
    </w:p>
    <w:p>
      <w:r>
        <w:rPr>
          <w:b/>
        </w:rPr>
        <w:t>E. 4</w:t>
      </w:r>
    </w:p>
    <w:p>
      <w:r>
        <w:t>4.1.1. Les frais imputables à la défense d'office sont des débours (art. 422 al. 2 let. a CPP) qui constituent des frais de procédure (art. 422 al. 1 CPP) et doivent, conformément à l'art. 421 al. 1 CPP, être fixés par l'autorité pénale dans la décision finale au plus tard (ATF 139 IV 199 consid. 5.1 p. 201 s. = JdT 2014 IV 79). La juridiction d'appel est partant compétente, au sens de l'art. 135 al. 2 CPP, pour statuer sur l'activité postérieure à sa saisine. 4.1.2. Selon l'art. 135 al. 1 CPP, le défenseur d'office est indemnisé conformément au tarif des avocats de la Confédération ou du canton du for du procès, le règlement sur l'assistance juridique du 28 juillet 2010 (RAJ ; E 2 05.04) s'appliquant à Genève. Selon l'art. 16 al. 1 RAJ, l'indemnité due à l'avocat et au défenseur d'office en matière pénale est calculée selon le tarif horaire de CHF 65.- pour un avocat stagiaire (let. a), de CHF 125.- pour un collaborateur (let. b) et de CHF 200.- pour un chef d'étude (let. c), débours de l'étude inclus. À l'instar de la jurisprudence, l'art 16. al. 2 RAJ prescrit que seules les heures nécessaires à la défense devant les juridictions cantonales sont retenues et sont appréciées en fonction notamment de la nature, de l'importance et des difficultés de la cause, de la valeur litigieuse, de la qualité du travail fourni et du résultat obtenu. La TVA est versée en sus si l'intéressé y est assujetti, de même qu'une majoration forfaitaire de 20% jusqu'à 30 heures d'activité consacrée aux conférences, audiences et autres actes de la procédure, pour les démarches diverses, telles que rédaction de courriers, entretiens téléphoniques, prise de connaissance de décisions, etc, et de 10 % au-delà, pratique que le Tribunal fédéral a admise sur le principe (arrêt 6B_838/2015 du 25 juillet 2016 consid. 3.5.2 ; voir aussi la décision de la Cour des plaintes du Tribunal pénal fédéral BB.2015.85 du 12 avril 2016 consid. 3.5.2 et 3.5.3). 4.1.3. L'activité qui n'est pas nécessaire à la défense devant les autorités cantonales n'est pas couverte par l'assistance juridique. Tel est le cas d'entretiens consistant vraisemblablement en un debriefing ou autres démarches postérieures au jugement, en l'absence d'appel, sous réserve de l'examen éventuel de son opportunité. Ainsi, en va-t-il également de l'activité déployée postérieurement au prononcé de l'arrêt en cas d'appel, notamment de celle tendant à évaluer l'opportunité d'un recours au Tribunal fédéral ou à le préparer (décision de la Cour des plaintes du Tribunal pénal fédéral BB.2015.93 du 3 novembre 2015 consid. 4.2.3 ; AARP/209/2016 du 23 mai 2016 consid. 5.2.3 et 5.3, AARP/187/2016 du 11 mai 2016 et AARP/204/2016 du 9 mai 2016 consid. 7.2.3 et 7.3 [entretien/debriefing programmé/effectué après l'audience d'appel ou la notification de l'arrêt de la CPAR] ; AARP/194/2016 du 13 mai 2016, AARP/102/2016 du 17 mars 2016 et AARP/525/2015 du 14 décembre 2015 consid. 7.1.8 et 7.2.2 [examen de l'arrêt de la CPAR – analyse de l'opportunité d'un recours au Tribunal fédéral]). 4.1.4. De jurisprudence constante, la majoration forfaitaire couvre les démarches diverses, tels la rédaction de courriers ou notes, les entretiens téléphoniques et la lecture de communications, pièces et décisions, sous réserve d'exceptions possibles pour des documents particulièrement volumineux ou nécessitant un examen poussé, charge à l'avocat de justifier l'ampleur des opérations dont la couverture ne serait pas assurée par le forfait ( AARP/181/2017 du 30 mai 2017 consid. 8.2.3 ; AARP/187/2017 du 18 mai 2017 consid. 7.2 ; AARP/435/2016 du 24 octobre 2016 consid. 6.2.2). Il en va ainsi de documents ne nécessitant pas ou peu de motivation ou autre investissement particulier en termes de travail juridique, telle l'opposition à l'ordonnance pénale ( AARP/161/2014 du 28 mars 2014), l'annonce d'appel ( AARP/184/2016 du 28 avril 2016 consid. 5.2.3.2 et 5.3.1 ; AARP/149/2016 du 20 avril 2016 consid. 5.3 et 5.4 ; AARP/146/2013 du 4 avril 2013), la déclaration d'appel (ordonnance de la Cour des plaintes du Tribunal pénal fédéral BB.2014.51 du 21 novembre 2014 consid. 2.1 ; décisions de la Cour des plaintes du Tribunal pénal fédéral BB.2013.165 du 24 janvier 2014 consid. 4.1.3 et BB.2013.127 du 4 décembre 2013 consid. 4.2) ou d'appel joint ( AARP/133/2015 du 3 mars 2015). La réception et lecture de pièces, procès-verbaux, ordonnances et jugements, plus particulièrement lorsqu'ils ne tiennent que sur quelques pages, quand ils donnent gain de cause à la partie assistée, ou encore n'appellent pas de réaction notamment parce qu'ils ne font que fixer la suite de la procédure ou ne sont pas susceptibles de recours sur le plan cantonal, est également couverte par le forfait ( AARP/425/2013 du 12 septembre 2013 [énoncé du principe]) ; AARP/142/2016 du 14 avril 2016 consid. 5.4.1, AARP/281/2015 du 25 juin 2015 et AARP/272/2015 du 1 er juin 2015 [lecture des jugement, déclaration d'appel, ordonnance et arrêt de la CPAR] ; AARP/184/2016 du 28 avril 2016 consid. 5.3.1, AARP/158/2016 du 22 avril 2016 consid. 6.3 et AARP/525/2015 du 14 décembre 2015 consid. 7.2.2 [lecture de courriers/d'actes de procédure] ; AARP/269/2015 du 9 juin 2015 [étude du procès-verbal d'audience]), contrairement au cas où un examen plus poussé s'imposait, notamment aux fins de déterminer l'opportunité d'un recours au plan cantonal ( AARP/184/2016 du 28 avril 2016 consid. 5.3.1 et AARP/158/2016 du 22 avril 2016 consid. 6.3 [lecture du jugement admise]). Le temps consacré à la consultation et à l'étude du dossier n'est pas compris dans la majoration forfaitaire et doit par conséquent être indemnisé en fonction du temps effectivement consacré ( AARP/202/2013 du 2 mai 2013) pour autant que l'activité réponde à l'exigence de nécessité (ex. AARP/189/2016 du 28 avril 2016 consid. 6.3). D'autant plus de retenue s'imposera à cet égard que la constitution de l'avocat est ancienne de sorte qu'il est censé bien connaître la cause et/ou que le dossier n'a pas connu de développements particuliers ( AARP/187/2016 du 11 mai 2016 ; AARP/54/2016 du 25 janvier 2016 consid. 5.3 ; AARP/295/2015 du 12 juillet 2015 consid. 8.3.2.1). 4.1.5. Dans le cas des prévenus en détention provisoire, une visite par mois jusqu'au prononcé du jugement ou de l'arrêt cantonal est admise, indépendamment des besoins de la procédure, pour tenir compte de la situation particulière de la personne détenue ( AARP/235/2015 du 18 mai 2015 ; AARP/480/2014 du 29 octobre 2014). En revanche, il n'y a pas lieu à indemnisation au titre de l'assistance juridique cantonale d'une visite postérieure à la décision (décision de la Cour des plaintes du Tribunal pénal fédéral BB.2015.93 du 3 novembre 2015 consid. 4.2.3). Le temps considéré admissible pour les visites dans les établissements du canton est d'une heure et 30 minutes quel que soit le statut de l'avocat concerné, ce qui comprend le temps de déplacement ( AARP/181/2017 du 30 mai 2017 consid. 8.2.2.2 et 8.3.5 ; cf. également Ordonnance de la Cour des plaintes du Tribunal pénal fédéral BB.2016.369 du 12 juillet 2017 consid. 4.2.4). Hors les visites précitées, le temps de déplacement de l'avocat est considéré comme nécessaire pour la défense d'office au sens de l'art. 135 CPP (décision de la Cour des plaintes du Tribunal pénal fédéral BB.2015.33 du 28 juillet 2015 consid. 4.3 et les références), ce que le règlement genevois ne prévoit pas, de sorte qu'il a fallu combler cette lacune. La jurisprudence admet que la rémunération des vacations soit inférieure à celle des diligences relevant de l'exécution du mandat stricto sensu de l'avocat, dans la mesure où celles-là ne font pas appel à ses compétences intellectuelles (arrêt du Tribunal fédéral 6B_810/2010 du 25 mai 2011 consid. 2.2 ; dans ce sens : ordonnance de la Cour des plaintes BB.2015.44 du 27 octobre 2015 consid. 3.2.4). L'octroi d'un montant forfaitaire par vacation (aller/retour) est admissible (décision de la Cour des plaintes du Tribunal pénal fédéral BB.2013.182 du 16 avril 2014 consid. 3.2.1 et 3.2.4), pour autant qu'il ne relève pas de l'ordre du symbolique (décisions de la Cour des plaintes du Tribunal pénal fédéral BB.2017.107 du 15 décembre 2017 consid. 4.1.1 ; BB.2016.39 du 30 novembre 2016 consid. 7.2). Aussi, la rémunération forfaitaire de la vacation aller/retour au et du Palais de justice ou au et du bâtiment du Ministère public est-elle arrêtée à CHF 100.- pour les chefs d'étude, CHF 65.- pour les collaborateurs et CHF 35.- pour les avocats-stagiaires, dite rémunération étant allouée d'office pour la juridiction d'appel pour les débats devant elle.</w:t>
      </w:r>
    </w:p>
    <w:p>
      <w:r>
        <w:rPr>
          <w:b/>
        </w:rPr>
        <w:t>E. 4.2</w:t>
      </w:r>
    </w:p>
    <w:p>
      <w:r>
        <w:t>Compte tenu de ce qui précède, il convient de retrancher de la note de frais déposée 1h30 pour la visite postérieure à l'audience d'appel, 1h30 pour la rédaction de la déclaration d'appel et la demande d'exécution anticipée de la peine ainsi que 35mn du temps estimé d'audience. Le total horaire pris en compte s'élève donc à 8h40. A cela s'ajouteront les deux vacations en CHF 200.-, le 10% forfaitaire, compte tenu de l'activité totale réalisée jusqu'ici de plus de 30 heures, et la TVA, de même que les frais de traduction en CHF 340.-, la facture du 20 décembre 2017 étant exceptionnellement prise en compte. En conclusion, l'indemnité sera arrêtée à CHF 2'636.85 y compris la TVA.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