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P/15649/2010 vom 20. November 2014</w:t>
      </w:r>
    </w:p>
    <w:p>
      <w:r>
        <w:t>GE Cour de justice, 2014-11-20, FR</w:t>
      </w:r>
    </w:p>
    <w:p>
      <w:r>
        <w:rPr>
          <w:b/>
        </w:rPr>
        <w:t xml:space="preserve">Quelle: </w:t>
      </w:r>
      <w:r>
        <w:t>https://mcp.opencaselaw.ch/entscheid/ge_gerichte_P_15649_2010</w:t>
      </w:r>
    </w:p>
    <w:p>
      <w:r>
        <w:t>FR: GE_GERICHTE P/15649/2010 du 20 novembre 2014</w:t>
      </w:r>
    </w:p>
    <w:p>
      <w:r>
        <w:t>IT: GE_GERICHTE P/15649/2010 del 20 novembre 2014</w:t>
      </w:r>
    </w:p>
    <w:p>
      <w:pPr>
        <w:pStyle w:val="Heading2"/>
      </w:pPr>
      <w:r>
        <w:t>Regeste</w:t>
      </w:r>
    </w:p>
    <w:p>
      <w:r>
        <w:t>UTILISATION FRAUDULEUSE D'UN ORDINATEUR; FIXATION DE LA PEINE; PEINE PÉCUNIAIRE; SURSIS À L'EXÉCUTION DE LA PEINE; INDEMNITÉ(EN GÉNÉRAL); CONFISCATION(DROIT PÉNAL) | CP.147; CP.42; CP.34; CP.37; CO.41; CPP.433; CP.70; CP.73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conclut à son acquittement d'utilisation frauduleuse d'un ordinateur (art. 147 al. 1 du code pénal suisse du 21 décembre 1937 - CP - RS 311.0).</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L'art. 147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 mais qu'il faut encore qu'une personne soit trompée, l'escroquerie prime l'utilisation frauduleuse d'un ordinateur (ATF 129 IV 22 , consid. 4.2 et références citées).</w:t>
      </w:r>
    </w:p>
    <w:p>
      <w:r>
        <w:rPr>
          <w:b/>
        </w:rPr>
        <w:t>E. 2.3</w:t>
      </w:r>
    </w:p>
    <w:p>
      <w:r>
        <w:t>En l'espèce, à l'instar du juge de première instance, la CPAR considère qu'il ne subsiste aucun doute quant à la présence de l'appelant, seul, le 2 septembre 2010, dès 7h04, dans les locaux de la société l'employant. Ce fait est établi par les déclarations de l'appelant du 8 décembre 2010 et le système de "badgeatage" en fonction dans cette entreprise qui a démontré que le badge lui étant attribué - dont il a été démontré que chaque employé le garde sur un porte-clés, comme il a indiqué le faire lui-même, ou autre support au vu de sa petite taille, ce qui peut exclure une interversion entre employés, comme soutenu par l'appelant - avait bien activé ledit système à son entrée à ce moment-là, système qui a aussi pu exclure la présence d'autres employés entre 7h04 et 7h28, heure de la fin des trois opérations nécessaires à la transaction frauduleuse. Les déclarations de l'appelant selon lesquelles il aurait entendu, sans l'identifier, une personne parler au téléphone quelques minutes après son arrivée, puis plus tard dans la procédure, selon lesquelles avait entendu deux personnes se dire bonjour, n'ont été corroborées par aucun élément de l'enquête, que ce soit l'audition de ses collègues, en particulier ceux dont les codes ont été utilisés pour la transaction litigieuse, ou encore l'examen des listings téléphoniques de toutes les lignes de l'entreprise, le premier appel ayant été passé le jour en question à 7h48, soit 20 minutes après la dernière validation nécessaire à la transaction. Pour ce qui est de l'accès aux clés USB et/ou calculettes nécessaires pour les trois interventions - l'ordre, puis les deux validations requises - en vue du transfert du montant de CHF 190'462.50, par e-banking, du compte C______ de la société plaignante vers le CCP 1______ au nom de D______, il est ressorti de l'enquête que les trois employés dont les codes avaient été utilisés gardaient leurs clés USB branchées en tout temps aux ordinateurs, respectivement la calculette à portée de main sur leur bureau, de sorte que n'importe quel employé pouvait y avoir accès. Quant aux codes d'accès nécessaires et attribués notamment aux trois employés - dont l'absence sur place au moment des faits a pu être établie, par leurs déclarations, corroborées par le système de badgeatage - utilisés pour la transaction litigieuse, ils se trouvaient répertoriés dans un fichier déposé sur le bureau de l'un d'eux. Il sera rappelé que l'appelant, au moment des faits, travaillait depuis plus de 2 mois et demi dans cette structure et partant avait eu loisir de connaître les méthodes de travail de chacun, en particulier s'agissant des transferts e-banking que lui-même n'était pas autorisé à faire, mais qui ne présentaient pas de difficultés particulières, qui plus est pour un comptable. Il est aussi ressorti de l'enquête, en particulier des déclarations de l'informaticien œuvrant alors dans la société plaignante, corroborées par les données transmises par C______, qu'une seule adresse IP avait été utilisée pour ordonner et valider la transaction litigieuse, laquelle portait encore la mention Y______. Il n'était par ailleurs pas possible de faire une telle opération de l'extérieur des locaux de la société, à moins d'être en possession des clés USB et/ou calculettes et d'être connecté au serveur. Une telle transaction ne pouvait être ordonnée et validée, ce qui nécessitait l'intervention de trois personnes différentes, dont l'une d'elle n'arrivait au bureau usuellement qu'à 9h00, en un laps de temps de quelques minutes seulement, soit une vingtaine. Ce sont autant d'éléments qui corroborent le fait qu'une personne seule, se déplaçant dans le bureau, d'ordinateur en ordinateur, connaissant l'existence du navire Y______, bateau utilisé par la société mais inactif depuis un certain temps, fut à l'origine de la transaction litigieuse et qu'il s'agit bien de l'appelant, seul présent sur place. L'autre élément à prendre en considération tient au CCP récipiendaire du montant issu de la transaction frauduleuse. Il est clairement établi, documentation de la Poste à l'appui et recherches faites auprès des autorités du R______, que ledit compte a été ouvert à Genève le 25 juin 2010, sur la base d'un faux passeport de la République du R______, au nom de D______, domicilié au ______. Il est apparu que cette personne n'existe pas. L'appelant a dans un premier temps dit ne pas connaître de D______, ni le ______ avant, sur question de la police, de reconnaître que sa sœur avait vécu à cette adresse et y sous-louait encore à des tiers l'appartement, gardé en bail. Il est de même établi, ce qui ressort des propres déclarations de l'appelant et des éléments de téléphonie mobile recueillis par la police, dans le cadre d'une enquête visant le beau-frère de l'appelant, pour précisément une mise à disposition de CCP à des personne suspectées d'escroqueries dans des opérations de type "phishing", qu'il utilisait, seul, dans la période de son interpellation en septembre 2010, le raccordement 4______. Ce raccordement a précisément été utilisé le 23 juin 2010, deux jours avant l'ouverture du CCP en question, pour l'envoi de deux sms sur le numéro utilisé par son beau-frère, par lequel il était demandé d'apposer un nom sur la boîte-aux-lettres de ______, puis précisant le nom et prénom de cette personne, à savoir D______. Là encore les déclarations de l'appelant sont loin de convaincre, oscillant initialement, soit en janvier 2011, entre aucune explication à donner ou pas le souvenir d'avoir envoyé ces sms, puis, en mai 2014, soit plus de 3 ans plus tard, dans des explications qu'il y a lieu de qualifier de confuses autour d'un certain W______. Toujours est-il que cette opération était indispensable pour la réception des documents de la Poste liés à l'ouverture, deux jours plus tard seulement, sous cette identité, d'un compte postal. Il sera relevé encore que l'utilisation exclusivement frauduleuse de ce CPP découle de la nature des opérations qui y sont intervenues, consistant en un seul crédit, soit le montant issu de la transaction litigeuse, avant l'hémorragie systématique, dont un versement conséquent vers ______, et l'absence de toute nouvelle opération au-delà du 5 octobre 2010 où il ne subsistait plus que moins de CHF 250.-, soit à peine plus de un mois après la réception des fonds litigieux. Les éléments de l'enquête accablent ainsi l'appelant, ce nonobstant ses dénégations constantes et il ne subsiste aucun doute qu'il est bien l'auteur des opérations intervenues frauduleusement le 2 septembre 2010 au matin, à partir d'ordinateurs se trouvant dans les locaux de la société plaignante - dont il a été dit par plusieurs employés qu'ils ne se mettaient alors pas automatiquement en veille -, au moyen de clés USB et/ou calculettes auxquels il n'avait pas accès de par ses fonctions et après s'être procuré les codes de ses collègues à leur insu, accessibles à l'époque, ce nonobstant qu'ils devraient rester confidentiels. La démarche de l'appelant tendant désormais, soit au stade de l'appel seulement, à accuser un collègue, entre-temps parti vivre définitivement au ______, ne trouve aucune assise dans la procédure, au vu des éléments accablants évoqués ci-dessus. Il ne fait encore pas de doute, au vu du processus adopté, que l'appelant a agi avec conscience et volonté, dans un dessein d'enrichissement, étant rappelé que D______ n'existe pas, mais que le lien entre l'adresse donnée pour cette personne à ______ et l'appelant a été démontré, et ce, au détriment de la société B______. L'appelant doit être reconnu coupable d'utilisation frauduleuse d'un ordinateur et le jugement entrepris confirmé sur ce point. 2.4.1.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2.4.2. Sur le plan objectif, seules les peines de 6 mois à 2 ans peuvent être assorties du sursis total (cf. art. 42 al. 1 CP). En l'espèce c'est une peine privative de liberté de 6 mois qui a été prononcée par le Juge de première instance, peine dont la quotité n'est pas remise en cause par l'appelant qui sollicite toutefois, à titre subsidiaire en cas de condamnation, le prononcé d'une peine sous la forme de travaux d'intérêt général (ci-après: TIG) ou une peine pécuniaire, assortie du sursis. 2.4.3.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2.4.4.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 2 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5 ans qui précèdent l'infraction n'équivalent pas au moins à 3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6 mois de privation de liberté ou 180 jours-amende (art. 42 al. 2 CP).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2.4.5. En l'espèce, comme retenu par le Juge de première instance, la faute de l'appelant n'est pas légère, au vu des circonstances du passage à l'acte et du bien juridique lésé. L'appelant a agi par pur appât du gain, sans considération aucune pour le patrimoine de son employeur. Sa collaboration à la procédure a été mauvaise. S'agissant du temps écoulé entre la commission de l'infraction et le présent arrêt, sans apparente nouvelle infraction, le Juge de première instance en a tenu compte dans la quotité de la peine. L'appelant a des antécédents judiciaires spécifiques, datant de février 2008, et a récidivé dans le délai d'épreuve. Dans la mesure où aucune circonstance particulièrement favorable n'est réalisée en l'espèce, le sursis ne peut pas lui être accordé. Pour ce qui est du type de peine, la peine pécuniaire a démontré ses limites sur l'appelant qui a récidivé malgré une première condamnation, moins de 3 ans plus tard. S'il a donné son accord à des travaux d'intérêt général (ci-après: TIG), cette peine n'est pas appropriée à sa situation personnelle actuelle. Il dit en effet vivre au ______ depuis janvier 2013, où il travaille comme consultant. Cette situation exclut que les modalités d'un TIG puissent être mises en œuvre par des démarches demeurant proportionnées. Partant, seule une peine privative de liberté est appropriée dans le cas d'espèce. Le Jugement entrepris sera donc confirmé tant quant à la peine prononcée, qu'au fait qu'elle ne soit pas assortie du sursis. La renonciation à la révocation du sursis accordée par le Tribunal de police s'agissant de sa condamnation du 25 février 2008 par le Ministère public reste acquise à l'appelant. Une prolongation du sursis pour 18 mois se justifie par contre au vu de la récidive intervenue dans le délai d'épreuve et du pronostic défavorable tel que posé.</w:t>
      </w:r>
    </w:p>
    <w:p>
      <w:r>
        <w:rPr>
          <w:b/>
        </w:rPr>
        <w:t>E. 3</w:t>
      </w:r>
    </w:p>
    <w:p>
      <w:r>
        <w:t>3.1.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w:t>
      </w:r>
    </w:p>
    <w:p>
      <w:r>
        <w:rPr>
          <w:b/>
        </w:rPr>
        <w:t>E. 3.2</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Schweizerische Strafprozessordnung : Praxis-kommentar,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op. cit., n. 8 ad art. 433 ; N. SCHMID, op. cit., n. 3 ad art. 433). Le Tribunal fédéral a considéré qu'une réduction de l'indemnité ne se justifiait pas automatiquement parce que les faits pour lesquels la partie plaignante avait déposé plainte étaient plus étendus que ceux qui ont finalement été retenus. En effet, l'utilité des démarches entreprises ne s'examine pas sous l'angle du résultat obtenu, les démarches devant apparaître nécessaires et adéquates pour la défense du point de vue de la partie plaignante raisonnable (arrêt du Tribunal fédéral 6B_159/2012 du 22 juin 2012 consid. 2.3).</w:t>
      </w:r>
    </w:p>
    <w:p>
      <w:r>
        <w:rPr>
          <w:b/>
        </w:rPr>
        <w:t>E. 3.3</w:t>
      </w:r>
    </w:p>
    <w:p>
      <w:r>
        <w:t>En l’espèce, B______ a déposé plainte suite au transfert litigieux de CHF 190'462.50, valeur 2 septembre 2010, intervenu au débit de son compte auprès de C______. L'appelant est reconnu coupable d'utilisation frauduleuse d'un ordinateur relativement à ce transfert. B______ fait valoir un dommage direct d'un montant de CHF 190'462.50, sous déduction d'un montant de CHF 15'056.35 en raison de la compensation effectuée par B______ au moment de la résiliation des rapports de travail avec le prévenu, soit un dommage de CHF 175'406.15. Il sera fait droit à cet égard aux conclusions de B______, en capital et intérêts. Le jugement entrepris sera aussi confirmé sur ce point.</w:t>
      </w:r>
    </w:p>
    <w:p>
      <w:r>
        <w:rPr>
          <w:b/>
        </w:rPr>
        <w:t>E. 3.4</w:t>
      </w:r>
    </w:p>
    <w:p>
      <w:r>
        <w:t>Dès lors que la partie plaignante a obtenu gain de cause en première instance suite à la condamnation du prévenu, elle peut se voir octroyer une indemnité couvrant ses frais d’avocat (art. 433 al. 1 CPP), ce que le premier juge a reconnu en condamnant A______ à lui verser la somme de 5'781.50 à ce titre. Cette indemnité apparaît d'ailleurs adéquate au regard de l’ensemble de la procédure, qui a nécessité plusieurs audiences d’instruction, au cours desquelles les parties ont été entendues, et la tenue d’une audience de jugement.</w:t>
      </w:r>
    </w:p>
    <w:p>
      <w:r>
        <w:rPr>
          <w:b/>
        </w:rPr>
        <w:t>E. 4</w:t>
      </w:r>
    </w:p>
    <w:p>
      <w:r>
        <w:t>4.1.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73 al. 1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(let. b). Le juge ne peut ordonner cette mesure que si le lésé cède à l'Etat une part correspondante de sa créance (art. 73 al. 2 CP). Conformément au texte de la loi, l’allocation au lésé n’est accordée que sur requête de celui-ci et n’intervient pas d’office (arrêt du Tribunal fédéral 6B_659/2012 du 8 avril 2013 consid. 3.1). Lorsque les conditions de l’art. 73 al. 1 CP sont remplies, le juge doit procéder à l’allocation demandée ; l’Etat doit ainsi impérativement renoncer aux valeurs confisquées au profit du lésé (arrêt du Tribunal fédéral 1P.189/2000 du 21 juin 2000, consid. 4b), lequel doit avoir subi un dommage direct qui se détermine en application des principes des art. 41ss CO et qui doit être fixé judiciairement ou en accord avec le délinquant (arrêt du Tribunal fédéral 6S.203/2004 du 15 juin 2006 consid. 4.1). Le juge ne peut toutefois ordonner cette mesure que si le lésé cède à l’Etat une part correspondante de sa créance (art. 73 al. 2 CP), de façon à éviter qu’il ne se retrouve en fin de compte enrichi (arrêt du Tribunal fédéral 6S.203/2004 du 15 juin 2006 consid. 4.1). Comme condition impérative, la cession doit avoir lieu avant que le tribunal statue sur la question de l’octroi de l’allocation au sens de l’art. 73 CP. Cela signifie que le lésé doit formuler sa déclaration de cession inconditionnelle avant le prononcé de la décision. L’octroi d’une allocation, sous la condition qu’une telle cession va encore intervenir, n’est pas autorisée, dès lors qu’il n’existe ensuite aucun moyen pour contraindre le lésé à une telle cession et que celle-ci n’intervient pas non plus simplement de par la loi (arrêt du Tribunal fédéral 6B_190/2010 du 16 juillet 2010 consid. 2). Une obligation, à charge des autorités, de rendre le lésé attentif au contenu de l’art. 73 al. 2 CP ne peut, tout au plus, être envisagée lorsque le lésé n’est pas versé dans la matière juridique ou assisté d’un avocat (arrêt du Tribunal fédéral 6B_190/2010 du 16 juillet 2010 consid. 2).</w:t>
      </w:r>
    </w:p>
    <w:p>
      <w:r>
        <w:rPr>
          <w:b/>
        </w:rPr>
        <w:t>E. 4.2</w:t>
      </w:r>
    </w:p>
    <w:p>
      <w:r>
        <w:t>Comme retenu par le premier Juge par-devant lequel B______ a conclu à l'allocation du montant de CHF 570.30 qui avait été saisi et qui figure sous pièce n°1 de l'inventaire N°7______ du 8 décembre 2010, il y a lieu de craindre que l'appelant ne remboursera pas le dommage à la partie plaignante en raison de sa situation financière précaire liée en partie à son installation au ______, mais aussi au montant imposant de ses poursuites et actes de défaut de biens à Genève. Il sera dès lors fait droit aux conclusions de B______ en allocation dudit montant, celle-ci ayant cédé à l'Etat une part de sa créance correspondant à la valeur de ladite allocation. Le montant du dommage de CHF 175'406.15 subi par la partie plaignante sera ainsi réduit à CHF 174'835.85. Le jugement entrepris sera également confirmé sur ce point.</w:t>
      </w:r>
    </w:p>
    <w:p>
      <w:r>
        <w:rPr>
          <w:b/>
        </w:rPr>
        <w:t>E. 4.3</w:t>
      </w:r>
    </w:p>
    <w:p>
      <w:r>
        <w:t>Le jugement de première instance devra également être confirmé en tant qu'il a ordonné le séquestre et la restitution à l'appelant des objets figurant sous pièces n°1 à 9 de l'inventaire N°7______ du 8 décembre 2010.</w:t>
      </w:r>
    </w:p>
    <w:p>
      <w:r>
        <w:rPr>
          <w:b/>
        </w:rPr>
        <w:t>E. 5</w:t>
      </w:r>
    </w:p>
    <w:p>
      <w:r>
        <w:t>En l'absence d'acquittement, l'appelant sera débouté de ses conclusions en indemnisation, ne comprenant au demeurant qu'une réserve de ses prétentions, non chiffrées, ni étayées (art. 429 CPP).</w:t>
      </w:r>
    </w:p>
    <w:p>
      <w:r>
        <w:rPr>
          <w:b/>
        </w:rPr>
        <w:t>E. 6</w:t>
      </w:r>
    </w:p>
    <w:p>
      <w:r>
        <w:t>L'appelant qui succombe intégralement supportera les frais de la procédure d'appel, lesquels comprennent un émolument de jugement de CHF 2'000.- (art. 428 CPP et art. 14 du règlement fixant le tarif des frais en matière pénale du 22 décembre 2010 [RFTMP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