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P/15642/2017 vom 29. Oktober 2018</w:t>
      </w:r>
    </w:p>
    <w:p>
      <w:r>
        <w:t>GE Cour de justice, 2018-10-29, FR</w:t>
      </w:r>
    </w:p>
    <w:p>
      <w:r>
        <w:rPr>
          <w:b/>
        </w:rPr>
        <w:t xml:space="preserve">Quelle: </w:t>
      </w:r>
      <w:r>
        <w:t>https://mcp.opencaselaw.ch/entscheid/ge_gerichte_P_15642_2017</w:t>
      </w:r>
    </w:p>
    <w:p>
      <w:r>
        <w:t>FR: GE_GERICHTE P/15642/2017 du 29 octobre 2018</w:t>
      </w:r>
    </w:p>
    <w:p>
      <w:r>
        <w:t>IT: GE_GERICHTE P/15642/2017 del 29 ottobre 2018</w:t>
      </w:r>
    </w:p>
    <w:p>
      <w:pPr>
        <w:pStyle w:val="Heading2"/>
      </w:pPr>
      <w:r>
        <w:t>Regeste</w:t>
      </w:r>
    </w:p>
    <w:p>
      <w:r>
        <w:t>CONDUITE MALGRÉ UNE INCAPACITÉ; IVRESSE; CONDUITE SANS AUTORISATION; CIRCULATION SANS PERMIS DE CIRCULATION; INTERPRÈTE | LCR.91.al2.leta; LCR.95.al1.letb; LCR.99.ch3; CPP.158; CPP.68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3.2. Aux termes de l'art. 55 al. 6 let. b LCR, l'Assemblée fédérale fixe dans une ordonnance le taux qualifié d'alcool dans l'haleine et dans le sang. 2.3.3. L'art. 1 de l'ordonnance de l'Assemblée fédérale concernant les taux d'alcoolémie limites admis en matière de circulation routière du 21 mars 2003 (RS - 741.13) prévoit qu'un conducteur est réputé incapable de conduire lorsqu'il présente un taux d'alcoolémie de 0,5 gramme pour mille ou plus (let. a), un taux d'alcool dans l'haleine de 0,25 milligramme ou plus par litre d'air expiré (let. b), ou que son organisme contient une quantité d'alcool entraînant un tel taux d'alcoolémie (let. c). L'art. 2 précise qu'est réputé qualifié un taux d'alcoolémie de 0,8 gramme pour mille ou plus (let. a) ou un taux d'alcool dans l'haleine de 0,4 milligramme ou plus par litre d'air expiré (let. b). 2.3.4. Selon l'art. 10a de l'ordonnance sur le contrôle de la circulation routière (741.013 - OCCR), le contrôle de l'alcool dans l'air expiré peut être effectué au moyen d'un éthylotest au sens de l'art. 11 ou d'un éthylomètre au sens de l'art. 11a. L'art. 11 al. 1 let. a OCCR prescrit que le contrôle effectué au moyen d'un éthylotest peut avoir lieu au plus tôt après un délai d'attente de 20 minutes, tandis que celui effectué au moyen d'un éthylomètre après 10 minutes au minimum (art. 11a al. 1 OCCR). 2.3.5. Aux termes de l'art. 13 al. 1 OCCR, la police est notamment tenue d'informer la personne concernée qu'une prise de sang sera ordonnée en cas de refus de coopérer à un test préliminaire ou au contrôle au moyen de l'éthylomètre (art. 55 al. 3 LCR) (let. a.), que la reconnaissance du résultat du contrôle de l'alcool dans l'air expiré entraînera l'introduction d'une procédure administrative et d'une procédure pénale (let. b.) et qu'elle peut exiger une prise de sang (let. c.). 2.4.1. En l'espèce, l'appelant a admis avoir consommé, le 16 juillet 2017, de l'alcool, soit des bières et de la vodka, avant de prendre le volant de sa voiture. En revanche, il conteste le taux d'alcoolémie qualifié mesuré lors du contrôle de police dont il a fait l'objet à cette date, soutenant le manque de fiabilité de cette mesure et son incompréhension du français l'ayant conduit à ne pas saisir qu'il renonçait à une prise de sang tout comme à son droit d'être assisté par un interprète. Plusieurs éléments du dossier font apparaître comme douteuse la prétendue ignorance de la langue française par l'appelant, lequel vit et travaille à Genève depuis presque neuf ans au moment du contrôle routier de juillet 2017, quand bien même il côtoie au quotidien essentiellement des collègues et un employeur portugais. Ainsi, les différentes réponses aux questions qui lui ont été posées en français lors de sa première audition sont parfaitement cohérentes et n'autorisent pas à douter de sa compréhension de cette langue. Celles-ci comportent suffisamment de détails qui démontrent qu'il a saisi ce qui lui était demandé et à son tour s'est fait comprendre de la police qui a transcrit ses propos. Il en est ainsi du type d'alcool consommé durant la soirée, de l'heure de la dernière ingestion et de son interpellation par le passé pour conduite en état d'ébriété. Il ressort également de ses propres déclarations qu'il a été en mesure d'appréhender les explications, toujours en français, du gendarme, lorsque celui-ci lui a indiqué que le test d'alcoolémie effectué au moyen de l'éthylomètre était tout autant fiable qu'une prise de sang et qu'il lui aurait fait confiance à ce sujet. Ces éléments démontrent aussi que l'appelant s'est interrogé à ce sujet et rend ainsi particulièrement peu crédible ses affirmations subséquentes selon lesquelles la police ne lui aurait pas offert de procéder à une prise de sang, pourtant systématiquement proposée. Le contrôle de police dont a fait l'objet l'appelant était, selon le gendarme, dont il n'y a aucune raison de douter de la crédibilité, parfaitement conforme à la procédure habituelle qui doit être suivie en cas de suspicion d'alcoolémie du conducteur. En effet, bien que cet agent de police ne se souvienne pas de ce contrôle en particulier, les documents signés en français par l'appelant – sans réserve – attestent de cette conformité et du fait que celui-ci n'avait pas de problème de compréhension de cette langue. Ainsi, sur la base des documents au contenu sans équivoque signés par l'appelant et des explications de l'agent de police, la Cour retiendra, à ce stade déjà, que l'appelant a valablement été informé de ses droits et obligations et qu'il a, en connaissance de cause, renoncé à la prise de sang et à la présence d'un interprète en portugais, maitrisant suffisamment le français pour valablement comprendre la portée de sa décision. Il a dans les mêmes circonstances, par sa signature sur le résultat de l'éthylomètre, admis la valeur mesurée par celui-ci, laquelle ne semble de loin pas disproportionnée avec la consommation reconnue de bières et de vodka. Aucun élément au dossier – excepté ses déclarations quatre mois après les faits – ne vient soutenir qu'il aurait signé les documents qui lui ont alors été présentés sans en saisir le contenu, dénué de toute ambiguïté, qu'il s'agisse du formulaire de renonciation à une prise de sang ou de la première page du procès-verbal d'audition qui mentionne le portugais comme langue maternelle et le français comme langue parlée, respectivement l'absence de besoin d'un traducteur. L'appelant reconnait ne pas avoir sollicité la présence d'un interprète à l'occasion de ses deux précédentes arrestations, pourtant antérieures de plusieurs années à celle de juillet 2017 de sorte qu'il devait alors maitriser le français dans une moindre mesure. Il ne convainc pas en pensant le justifier par le fait d'avoir " humblement accepté " ce que lui disait la police à cette époque. Par ailleurs, contrairement à ce qu'il affirme, il n'a pas signé "en bloc" à la fin de son audition les documents dont il conteste le contenu, sous-entendant par-là qu'il n'avait pas eu le temps d'en distinguer les subtilités. A teneur de ces pièces il a en effet signé à 06h35 ses " DROITS ET OBLIGATIONS ", à 06h55 le " RÉSULTAT DE L'ÉTHYLO-MÈTRE " et à 07h30 le " PROCÈS-VERBAL D'AUDITION ". L'ensemble de ces éléments démontre la propension de l'appelant à accommoder la réalité des faits à ses thèses fantaisistes. Dans ce même registre, la Cour constate qu'il n'a pas hésité à mentir à la police en donnant l'identité de son frère lors du contrôle du 2 décembre 2017. Bien plus, alors que la police lui avait demandé d'amener ses documents d'identité au poste, il a demandé à son frère d'effectuer cette démarche, pensant certainement que son stratagème ne serait pas découvert. C'était toutefois sans compter sur la bonne mémoire visuelle des policiers. Enfin, l'appelant n'a eu aucun scrupule à donner aux diverses autorités des explications contradictoires sur son cahier des charges chez son employeur impliquant la conduite ou non d'un véhicule et sa fréquence. Dans ces circonstances, les déclarations de l'appelant manquent singulièrement de crédibilité et la CPAR retiendra qu'aucune règle de procédure quant à la validité du contrôle, respectivement aux droits du prévenu n'a été viciée en marge de son contrôle du 16 juillet 2017. Il n'est donc point besoin de discuter les conséquences d'un manquement que la CPAR n'a pas constaté. 2.4.2. Ayant ainsi valablement renoncé à une prise de sang et sur la base du test de l'éthylomètre dont le résultat ne prête pas le flanc à la critique, l'appelant doit être reconnu coupable de conduite en état d'ébriété avec un taux d'alcool qualifié au sens de l'art. 91 al. 2 lit. a LCR et le jugement entrepris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3.2</w:t>
      </w:r>
    </w:p>
    <w:p>
      <w:r>
        <w:t>Les nouvelles dispositions sur le droit des sanctions sont entrées en vigueur le 1 er janvier 2018. Cette réforme marque globalement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3.3.1.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3.3.2. La peine menace prévue aux art. 91 al. 2 let. a et 95 al. 1 let. b LCR est une peine privative de liberté de trois ans au plus ou une peine pécuniaire, tandis qu'une infraction à l'art. 99 ch. 3 LCR est sanctionné d'une amende.</w:t>
      </w:r>
    </w:p>
    <w:p>
      <w:r>
        <w:rPr>
          <w:b/>
        </w:rPr>
        <w:t>E. 3.4</w:t>
      </w:r>
    </w:p>
    <w:p>
      <w:r>
        <w:t>En l'espèce, hormis en lien avec l'acquittement requis, l'appelant ne conteste ni le genre ni la quotité de la peine prononcée par le premier juge. Cette peine tient adéquatement compte de la faute de l'appelant, qu'il a qualifiée à juste titre d'importante, celui-ci n'ayant pas hésité à conduire sous l'effet d'un taux qualifié d'alcool, allant même jusqu'à faire le trajet Genève-______ [VD]-Genève afin de raccompagner un ami et mettant ainsi en danger la vie de nombreux usagers de la route, dont celle de son ou ses passagers. Il n'a ensuite pas hésité à conduire alors qu'il se savait faire l'objet d'une mesure de retrait de permis en lien avec ces faits, dénotant son total mépris pour la loi. Les mobiles de l'appelant sont futiles et égoïstes. Sa collaboration est mauvaise. L'appelant a contesté l'évidence après avoir compris l'enjeu du taux d'alcoolémie détecté par l'éthylomètre en juillet 2017 et n'a pas hésité, jusqu'à ce que la police découvre le stratagème, à se faire passer pour son frère afin d'éviter d'assumer sa responsabilité face aux infractions routières commises en décembre 2017. Sa prise de conscience est inexistante. Il n'a cessé, en appel encore, de minimiser ses actes, allant jusqu'à mettre en cause l'intégrité des policiers ayant procédé au contrôle du mois de juillet 2017 en prétendant qu'ils avaient bafoué ses droits d'être assisté d'un interprète et d'être soumis à une prise de sang. Sa situation personnelle, plutôt bonne, est sans rapport avec les faits reprochés. Il avait toute latitude d'agir en respectant la loi, étant rappelé qu'il a grandement varié dans ses explications s'agissant de la nécessité ou non de conduire un véhicule automobile pour les besoins de son emploi, respectivement la fréquence s'agissant des faits de décembre 2017. Rien ne commandait qu'il prenne le volant en état d'ébriété qualifié en juillet 2017. L'appelant a des antécédents spécifiques en matière de LCR et n'a manifestement tiré aucun enseignement de ses deux précédentes condamnations. Il y a concours d'infractions, ce qui a un effet aggravant sur la peine. Le type de peine, des jours-amende, lui est acquis (art. 391 al. 2 CPP). La quotité de 110 jours-amende retenue par le premier juge tient adéquatement compte de tous les éléments qui précèdent et sera confirmée. Le montant unitaire de CHF 30.- s'avère conforme à la situation personnelle et financière de l'appelant et n'est d'ailleurs pas contesté. Le jugement de première instance sera partant confirmé également sur ces points.</w:t>
      </w:r>
    </w:p>
    <w:p>
      <w:r>
        <w:rPr>
          <w:b/>
        </w:rPr>
        <w:t>E. 4</w:t>
      </w:r>
    </w:p>
    <w:p>
      <w:r>
        <w:t>L'appelant, qui succombe, supportera les frais de la procédure envers l'État comprenant un émolument de CHF 2'000.- (art. 428 CPP et et art. 14 al. 1 let. e du Règlement fixant le tarif des frais en matière pénale du 22 décembre 2010 [RTFMP ; E 4 10.03]).</w:t>
      </w:r>
    </w:p>
    <w:p>
      <w:r>
        <w:rPr>
          <w:b/>
        </w:rPr>
        <w:t>E. 5</w:t>
      </w:r>
    </w:p>
    <w:p>
      <w:r>
        <w:t>Compte tenu de l'issue de son appel, l'appelant sera débouté de ses conclusions en indemnisation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