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P/15605/2024 vom 29. Oktober 2025</w:t>
      </w:r>
    </w:p>
    <w:p>
      <w:r>
        <w:t>GE Cour de justice, 2025-10-29, FR</w:t>
      </w:r>
    </w:p>
    <w:p>
      <w:r>
        <w:rPr>
          <w:b/>
        </w:rPr>
        <w:t xml:space="preserve">Quelle: </w:t>
      </w:r>
      <w:r>
        <w:t>https://mcp.opencaselaw.ch/entscheid/ge_gerichte_P_15605_2024</w:t>
      </w:r>
    </w:p>
    <w:p>
      <w:r>
        <w:t>FR: GE_GERICHTE P/15605/2024 du 29 octobre 2025</w:t>
      </w:r>
    </w:p>
    <w:p>
      <w:r>
        <w:t>IT: GE_GERICHTE P/15605/2024 del 29 ottobre 2025</w:t>
      </w:r>
    </w:p>
    <w:p>
      <w:pPr>
        <w:pStyle w:val="Heading2"/>
      </w:pPr>
      <w:r>
        <w:t>Regeste</w:t>
      </w:r>
    </w:p>
    <w:p>
      <w:r>
        <w:t>ORDONNANCE DE NON-ENTRÉE EN MATIÈRE;DIFFAMATION;CALOMNIE;DÉNONCIATION CALOMNIEUSE | CPP.310; CP.173.ch1; CP.174; CP.303</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303 ch. 1 CP réprime notamment du chef de dénonciation calomnieuse quiconque dénonce à l'autorité, comme auteur d'un crime ou d'un délit, une personne qu'il sait innocente, en vue de faire ouvrir contre elle une poursuite pénale. L'auteur doit vouloir que son comportement entraîne l'ouverture d'une procédure contre la victime. La dénonciation doit être transmise à une autorité (M. DUPUIS / L. MOREILLON / C. PIGUET / S. BERGER / M. MAZOU / V. RODIGARI, Code pénal - Petit commentaire, 2ème éd., Bâle 2017 , n. 12 ad art. 303).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3.3.1. 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Pour déterminer si une déclaration est attentatoire à l’honneur, il ne faut pas se fonder sur le sens que lui donne la personne visée, mais sur une interprétation objective selon le sens qu’un destinataire non prévenu, avec des connaissances moyennes, doit, dans les circonstances données, lui attribuer (A. MACALUSO / L. MOREILLON / N. QUELOZ (éds), Commentaire romand, Code pénal II, vol. II, Partie spéciale : art. 111-392 CP, Bâle 2017, n. 33 ad intro. aux art. 173-178).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du Tribunal fédéral 6B_98/2011 du 24 mars 2011 consid. 4). Le fait d'accuser une personne d'avoir commis un crime ou un délit intentionnel entre dans les prévisions de l'art. 173 ch. 1 CP (ATF 132 IV 112 consid. 2.2 ; 118 IV 248 consid. 2b ; arrêt du Tribunal fédéral 6B_138/2008 du 22 janvier 2009 consid. 3.1). 3.3.2. Conformément à l'art. 173 ch. 2 CP, même si le caractère diffamatoire des propos ou des écrits litigieux est établi, l'inculpé n'encourt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 consid. 3; ATF 105 IV 114 consid. 2a). Autrement dit, l'accusé doit prouver qu'il a cru à la véracité de ses allégations après avoir fait consciencieusement tout ce que l'on pouvait attendre de lui pour s'assurer de leur exactitude. 3.3.3.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(ATF 131 IV 154 consid. 1.3; arrêt du Tribunal fédéral 6B_1225/2014 du 18 janvier 2016 consid. 1.2).</w:t>
      </w:r>
    </w:p>
    <w:p>
      <w:r>
        <w:rPr>
          <w:b/>
        </w:rPr>
        <w:t>E. 3.4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3.5</w:t>
      </w:r>
    </w:p>
    <w:p>
      <w:r>
        <w:t>La diffamation et la calomnie sont des délits qui ne se poursuivent que sur plainte. Selon l'art. 31 CP – auquel renvoient les art. 173 ch. 1 et 174 ch. 1 CP –, le droit de porter plainte se prescrit par trois mois.  Le délai ne commence à courir que lorsque le lésé a connu l'infraction – soit les éléments de fait qui la constituent (ATF 126 IV 131 consid. 4.3) – et l'auteur de celle-ci (ATF 130 IV 97 consid. 2).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126 IV 131 consid. 2; 121 IV 272 consid. 2a; arrêt 7B_80/2023 du</w:t>
      </w:r>
    </w:p>
    <w:p>
      <w:r>
        <w:rPr>
          <w:b/>
        </w:rPr>
        <w:t>E. 3.6</w:t>
      </w:r>
    </w:p>
    <w:p>
      <w:r>
        <w:t>Aux termes de l'art. 14 CP, quiconque agit comme la loi l'ordonne ou l'autorise se comporte de manière licite, même si l'acte est punissable en vertu du présent code ou d'une autre loi.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3.7</w:t>
      </w:r>
    </w:p>
    <w:p>
      <w:r>
        <w:t>En l'espèce, le recourant reproche premièrement au Ministère public d’avoir retenu que les allégations contenues dans la plainte de C______ n’avaient été diffusées qu’à un cercle restreint de personnes, dans le cadre de la procédure pénale, alors qu’elles avaient fait l’objet d’un article dans le journal F______. Il perd cependant de vue que cet article a été publié en août 2024 et qu’il en a pris connaissance avant même sa parution, puisqu’il a pu y exprimer son point de vue, mais a renoncé à déposer plainte dans le délai de trois mois, de sorte qu’il existe un empêchement de procéder s’agissant de ce complexe de faits. Il en va de même de la prétendue transmission de la plainte pénale à E______ [association patronale], puisqu’aucun élément au dossier, mis à part les déclarations du recourant, ne permet de retenir que la plainte pénale aurait effectivement été transmise à son président, ni que le recourant aurait eu connaissance de ce fait en mars 2025 seulement, alors que la plainte avait été déposée près d’un an auparavant et qu’un article qui en reprenait le contenu essentiel avait déjà fait l’objet d’une publication en août 2024. Au contraire, il ressort de la plainte pénale du recourant qu’à la suite des accusations portées contre lui, il avait dû collaborer étroitement avec E______ pour contrôler qu’aucune cotisation n’avait été détournée, durant plus de trois mois, jusqu’au mois de mars 2025. Ainsi, selon toute vraisemblance, c’est avant cette collaboration que le recourant a appris que E______ avait pris connaissance du contenu de la plainte et non fin mars 2025 comme il le soutient, de sorte que sa plainte pénale du 10 avril 2025 est, sur ce point, également tardive. Le litige sera dès lors circonscrit aux propos tenus par C______ dans sa plainte pénale auprès du Ministère public, dont le contenu exact a été porté à la connaissance du recourant lors de son audition par la police le 11 mars 2025. Or, replacés dans leur contexte, les termes dénoncés, bien que portant atteinte à l’honneur du recourant, puisqu’il lui est reproché d’avoir commis des infractions pénales, paraissent néanmoins justifiés sous l'angle de l'art. 14 CP. En effet, il ressort de l’article de journal que d’autres anciens membres de D______ avaient constaté des faits similaires à ceux dénoncés par le mis en cause, de sorte qu’il ne peut être retenu que ce dernier aurait fait preuve de mauvaise foi en interpelant les autorités pénales afin de leur faire part de comportements qui semblaient, selon lui, remplir les conditions d’infractions pénales, étant rappelé, comme l’a soulevé le Ministère public, que leur classement, faute de soupçon suffisant, ne rend pas la dénonciation ipso facto calomnieuse. Le mis en cause s’est, de plus, contenté de relater les faits tels qu'il les avait vécus et ses allégués, en lien avec l'objet de la plainte, ne peuvent être qualifiés d'inutilement blessants, mais semblent au contraire destinés à protéger des intérêts légitimes. Ceux-ci n’ont de plus pas dépassé ni ce qui était nécessaire à la dénonciation, ni le cercle étroit de personnes tenues au secret professionnel. Partant, les propos litigieux ne peuvent être réprimés par l'art. 173 CP, ni a fortiori par l'art. 174 CP, cette infraction étant une forme qualifiée de diffamation. Il en va de même s'agissant de la dénonciation calomnieuse, puisque, conformément à ce qui précède, aucun élément ne permet de retenir que C______ connaissait l'innocence du recourant. Faute de prévention pénale suffisante, c'est à bon droit que le Ministère public a renoncé à entrer en matière sur les infractions dénoncées. Aucune mesure d'instruction ne paraît être à même de modifier ce constat. 4. Justifiée, la décision querellée sera donc confirmée et le recours rejeté. 5. Le recourant, qui succombe, supportera les frais envers l'État, fixés en totalité à CHF 1'300.- (art. 428 al. 1 CPP et 13 al. 1 du Règlement fixant le tarif des frais en matière pénale, RTFMP ; E 4 10.03).</w:t>
      </w:r>
    </w:p>
    <w:p>
      <w:r>
        <w:rPr>
          <w:b/>
        </w:rPr>
        <w:t>E. 6</w:t>
      </w:r>
    </w:p>
    <w:p>
      <w:r>
        <w:t>Corrélativement, aucun dépens ne lui sera alloué (ATF 144 IV 207 ,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