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P/15601/2013 vom 8. Januar 2014</w:t>
      </w:r>
    </w:p>
    <w:p>
      <w:r>
        <w:t>GE Cour de justice, 2014-01-08, FR</w:t>
      </w:r>
    </w:p>
    <w:p>
      <w:r>
        <w:rPr>
          <w:b/>
        </w:rPr>
        <w:t xml:space="preserve">Quelle: </w:t>
      </w:r>
      <w:r>
        <w:t>https://mcp.opencaselaw.ch/entscheid/ge_gerichte_P_15601_2013</w:t>
      </w:r>
    </w:p>
    <w:p>
      <w:r>
        <w:t>FR: GE_GERICHTE P/15601/2013 du 8 janvier 2014</w:t>
      </w:r>
    </w:p>
    <w:p>
      <w:r>
        <w:t>IT: GE_GERICHTE P/15601/2013 del 8 gennaio 2014</w:t>
      </w:r>
    </w:p>
    <w:p>
      <w:pPr>
        <w:pStyle w:val="Heading2"/>
      </w:pPr>
      <w:r>
        <w:t>Regeste</w:t>
      </w:r>
    </w:p>
    <w:p>
      <w:r>
        <w:t>CONCOURS D'INFRACTIONS | CP.49.1</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l'annonce d'appel du 19 novembre 2013 valant en l'espèce déclaration d'appel, puisqu'elle permet de comprendre que X______, plaidant en personne, conteste la quotité de la peine (art. 399 al. 4 let. b CPP) et sollicite sa réduction.</w:t>
      </w:r>
    </w:p>
    <w:p>
      <w:r>
        <w:rPr>
          <w:b/>
        </w:rPr>
        <w:t>E. 1.2</w:t>
      </w:r>
    </w:p>
    <w:p>
      <w:r>
        <w:t>La Chambre limite son examen aux violations décrites dans l'acte d'appel (art. 404 al. 1 CPP), sauf en cas de décisions illégales ou inéquitables (art. 404 al. 2 CPP). Il n'y a ainsi pas lieu de revenir sur le verdict de culpabilité, qui n'est pas contesté et qui, au demeurant, est conforme aux éléments du dossier.</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2.2.1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5.2 p. 122 ss). 2.2.2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Le séjour illégal au sens de l’art. 115 al. 1 let. b LEtr est un délit de durée. L’infraction peut être à nouveau commise si, après avoir été jugé pour de tels faits, le condamné poursuit ou renouvelle son séjour illégal en Suisse. Est passible d'une amende sur la base de l'art. 19a ch. 1 LStup celui qui, sans droit, aura consommé intentionnellement des stupéfiants ou celui qui aura commis une infraction à l'art. 19 LStup pour assurer sa propre consommation.</w:t>
      </w:r>
    </w:p>
    <w:p>
      <w:r>
        <w:rPr>
          <w:b/>
        </w:rPr>
        <w:t>E. 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2.4.1 En l'espèce, le premier juge a relevé qu'il n'existait aucune circonstance atténuante et que la faute du prévenu n'était pas légère au vu des circonstances du cas particulier, notamment de la longueur du séjour illégal et du fait que les nouvelles infractions commises faisaient suite à quatre condamnations précédemment rendues à son encontre pour des faits identiques. L'intéressé démontrait ainsi avoir été jusqu'alors parfaitement imperméable à l'effet dissuasif des précédentes peines et avait agi par mépris pour les lois en vigueur, justifiant le prononcé d'une peine privative de liberté de 4 mois, qui ne pouvait être assortie d'un sursis, compte tenu notamment de ses antécédents, spécifiques. 2.4.2 Cette motivation n'est pour l'essentiel pas critiquable notamment en tant qu'il en ressort que le risque de commission de nouvelles infractions est important, rendant ainsi le pronostic d’avenir concrètement défavorable et excluant de ce fait l’octroi du sursis (art. 42 CP). Par ailleurs, le prononcé d’une peine pécuniaire ou d’un travail d’intérêt général n’était pas envisageable, ces sanctions n’étant pas dissuasives et ne pouvant en tout état de cause pas être exécutées, dès lors que le prévenu se dit palestinien, est dépourvu de tout document d'identité et sans domicile connu. En revanche, elle ne permet pas de savoir si le Tribunal a considéré qu'il convenait de faire application de l'art. 49 al. 1 CP en l'occurrence et donc d'augmenter dans une juste proportion la peine de l'infraction la plus grave, soit celle liée au séjour illégal, en y intégrant la contravention à la LStup, puisqu'il n'y a aucune allusion à une amende, ni, le cas échéant, à la volonté du premier juge de renoncer au prononcé d'une telle sanction que ce soit en application de l'art. 19a ch. 2 LStup ou de l'art. 52 CP applicable aux contraventions en vertu de l'art. 104 CP. Il subsiste ainsi un doute sur la prise en considération du concours d'infractions au sens de l'art. 49 al. 1 CP dans le cas d'espèce, alors que cette disposition n'entrait pas en ligne de compte dès lors que la violation de l'art. 115 al. 1 let. b LEtr et de l'art. 19a ch. 1 LStup n'est pas passible du même genre de peine, doute qui doit profiter à l'accusé. 2.4.3 Il se justifie en conséquence de réduire la quotité de la peine privative de liberté infligée à l'appelant du chef de séjour illégal et de prononcer cumulativement une amende pour sanctionner la contravention à la LStup, tout en l'assortissant d'une peine privative de liberté de substitution au cas où il ne s'en acquitterait pas de manière fautive (art. 106 al. 2 CP). Le jugement entrepris sera réformé sur ce point.</w:t>
      </w:r>
    </w:p>
    <w:p>
      <w:r>
        <w:rPr>
          <w:b/>
        </w:rPr>
        <w:t>E. 3</w:t>
      </w:r>
    </w:p>
    <w:p>
      <w:r>
        <w:t>L’appel étant admis partiellement,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