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P/1559/2024 vom 8. Januar 2025</w:t>
      </w:r>
    </w:p>
    <w:p>
      <w:r>
        <w:t>GE Cour de justice, 2025-01-08, FR</w:t>
      </w:r>
    </w:p>
    <w:p>
      <w:r>
        <w:rPr>
          <w:b/>
        </w:rPr>
        <w:t xml:space="preserve">Quelle: </w:t>
      </w:r>
      <w:r>
        <w:t>https://mcp.opencaselaw.ch/entscheid/ge_gerichte_P_1559_2024</w:t>
      </w:r>
    </w:p>
    <w:p>
      <w:r>
        <w:t>FR: GE_GERICHTE P/1559/2024 du 8 janvier 2025</w:t>
      </w:r>
    </w:p>
    <w:p>
      <w:r>
        <w:t>IT: GE_GERICHTE P/1559/2024 del 8 gennaio 2025</w:t>
      </w:r>
    </w:p>
    <w:p>
      <w:pPr>
        <w:pStyle w:val="Heading2"/>
      </w:pPr>
      <w:r>
        <w:t>Regeste</w:t>
      </w:r>
    </w:p>
    <w:p>
      <w:r>
        <w:t>ORDONNANCE DE NON-ENTRÉE EN MATIÈRE;MESURE DE CONTRAINTE(PROCÉDURE PÉNALE);VENTE;ESCROQUERIE;ABUS DE CONFIANCE;DROIT À UN DÉFENSEUR | CPP.310; CPP.309; CP.146; CP.138</w:t>
      </w:r>
    </w:p>
    <w:p>
      <w:pPr>
        <w:pStyle w:val="Heading2"/>
      </w:pPr>
      <w:r>
        <w:t>Erwägungen</w:t>
      </w:r>
    </w:p>
    <w:p>
      <w:r>
        <w:rPr>
          <w:b/>
        </w:rPr>
        <w:t>E. 1</w:t>
      </w:r>
    </w:p>
    <w:p>
      <w:r>
        <w:t>Dans la mesure où ils concernent la même décision, il y a lieu de joindre les recours.</w:t>
      </w:r>
    </w:p>
    <w:p>
      <w:r>
        <w:rPr>
          <w:b/>
        </w:rPr>
        <w:t>E. 2</w:t>
      </w:r>
    </w:p>
    <w:p>
      <w:r>
        <w:t>Ceux-ci sont recevables pour avoir été déposés selon la forme et dans le délai prescrits (art. 385 al. 1 et 396 al. 1 CPP), concerner une ordonnance sujette à recours auprès de la Chambre de céans (art. 393 al. 1 let. a CPP) et émaner du prévenu, respectivement du plaignant qui, parties à la procédure (art. 104 al. 1 let. a et b CPP), ont qualité pour agir, ayant un intérêt juridiquement protégé à la modification ou à l'annulation de la décision querellée (art. 382 al. 1 CPP).</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A______ estime qu'une ordonnance de non-entrée en matière ne pouvait pas être rendue au regard des investigations menées et se plaint d'une violation de son droit d'être entendu. 4.1.1.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Le ministère public ne peut, en revanche, ordonner des mesures de contrainte ou procéder lui-même à des auditions sans ouvrir une instruction, dans la mesure où il s'agit d'actes de procédure des autorités pénales qui portent atteinte aux droits fondamentaux des personnes intéressées (art. 196 al. 1 CPP; arrêt du Tribunal fédéral 6B_431/2013 du 8 décembre 2013 consid. 2.2 et 1B_368/2012 précité). Cette règle ne concerne pas l'ordre de dépôt, qui permet à son destinataire de fournir volontairement les objets ou valeurs qui doivent être séquestrés, précisément afin d'éviter cette mesure de contrainte (art. 265 al. 4 CPP; ATF 143 IV 21 consid. 3.1; arrêts du Tribunal fédéral 1B_492/2017 du 25 avril 2018 consid. 2.1; 6B_247/2017 du 21 mars 2018 consid. 4.1.2. En l'espèce, contrairement à ce que suppute le recourant, le Ministère public n'a pas entendu personnellement le mis en cause. La seule audition de ce dernier l'a été par la police, afin de recueillir sa position sur les accusations dont il faisait l'objet (cf.  art. 206 al. 1 et 2 CPP). Ces investigations n'ont donc pas été au-delà de ce que le Ministère public peut entreprendre avant d'ouvrir – formellement ou matériellement – une instruction. Par ailleurs, au vu de la jurisprudence rappelée ci-dessus, le fait qu'un ordre de dépôt ait été adressé à la banque ne prive pas le Ministère public de la possibilité de rendre une ordonnance de non-entrée en matière, dès lors qu'il ne s'agit pas d'une mesure de contrainte. Ce grief sera dès lors rejeté. 4.2.1. 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du 6 septembre 2018 consid. 1.3). 4.2.2. Au vu de ce qui précède, il y a également lieu de rejeter le grief relatif à la violation du droit d'être entendu du recourant, singulièrement de son droit de participer à l'administration des preuves.</w:t>
      </w:r>
    </w:p>
    <w:p>
      <w:r>
        <w:rPr>
          <w:b/>
        </w:rPr>
        <w:t>E. 5</w:t>
      </w:r>
    </w:p>
    <w:p>
      <w:r>
        <w:t>A______ considère que des soupçons suffisants d'infraction empêchent en tout état de rendre une ordonnance de non-entrée en matière.</w:t>
      </w:r>
    </w:p>
    <w:p>
      <w:r>
        <w:rPr>
          <w:b/>
        </w:rPr>
        <w:t>E. 5.1</w:t>
      </w:r>
    </w:p>
    <w:p>
      <w:r>
        <w:t>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138 IV 86 consid. 4.1; 137 IV 219 consid. 7).</w:t>
      </w:r>
    </w:p>
    <w:p>
      <w:r>
        <w:rPr>
          <w:b/>
        </w:rPr>
        <w:t>E. 5.2</w:t>
      </w:r>
    </w:p>
    <w:p>
      <w:r>
        <w:t>Se rend coupable d'escroquerie au sens de l’art. 146 ch.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(ATF 140 IV 11 consid. 2.3.2; 135 IV 76 consid. 5.1). Pour qu'il y ait escroquerie, une simple tromperie ne suffit cependant pas; encore faut-il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w:t>
      </w:r>
    </w:p>
    <w:p>
      <w:r>
        <w:rPr>
          <w:b/>
        </w:rPr>
        <w:t>E. 5.3</w:t>
      </w:r>
    </w:p>
    <w:p>
      <w:r>
        <w:t>Commet un abus de confiance, au sens de l'art. 138 ch. 1 al. 2 CP, la personne qui, sans droit, emploie à son profit des valeurs patrimoniales qui lui ont été confiées. Cette infraction suppose qu'une valeur ait été confiée, autrement dit que l'auteur ait acquis la possibilité d'en disposer, mais que, conformément à un accord (exprès ou tacite) ou un autre rapport juridique, il ne puisse en faire qu'un usage déterminé (ATF 143 IV 297 consid. 1.3; 133 IV 21 consid. 6.2). Le comportement délictueux consiste à utiliser la valeur patrimoniale contrairement aux instructions reçues, en s'écartant de la destination fixée (ATF 129 IV 257 consid. 2.2.1). Celui qui transfère des valeurs patrimoniales à un tiers en contrepartie d'une prestation ne les lui " confie " pas, de sorte que le tiers ne peut pas être puni pour abus de confiance s'il ne verse pas la contre-prestation. En effet, les contrats synallagmatiques ne font en principe naître que des prétentions à une contre-prestation et non une obligation de conservation (ATF 133 IV 21 consid. 7.2; 118 IV 239 consid. 2b; arrêts du Tribunal fédéral 6B_239/2020 du 8 juin 2020 consid. 2.3.1 ; 6B_312/2009 du 17 juillet 2009 consid. 2.2). Les valeurs patrimoniales remises dans le cadre d’un contrat de prêt peuvent néanmoins, à certaines conditions, être qualifiées de valeurs patrimoniales confiées. Tel est notamment le cas lorsque le contrat de prêt contient une obligation, à charge de l’emprunteur, de conserver la contre-valeur de ce qu’il a reçu, soit une obligation de rembourser en tout temps. Il est toutefois nécessaire que l’affectation des valeurs patrimoniales soit définie avec clarté et serve à couvrir les risques du prêteur ou, du moins, à diminuer son risque de perte. L'affectation convenue doit donc représenter en elle-même une forme de garantie. L'utilisation de l'argent prêté contrairement à sa destination convenue peut dès lors être constitutive d'abus de confiance lorsqu'elle remet en cause cet objectif et s'avère propre à causer un dommage (ATF 129 IV 257 consid. 2.2.2 et 2.3; M. DUPUIS / L. MOREILLON / C. PIGUET / S. BERGER / M. MAZOU / V. RODIGARI (éds), Code pénal - Petit commentaire , 2 ème éd., Bâle 2017, n. 35 ad art. 138).</w:t>
      </w:r>
    </w:p>
    <w:p>
      <w:r>
        <w:rPr>
          <w:b/>
        </w:rPr>
        <w:t>E. 5.4</w:t>
      </w:r>
    </w:p>
    <w:p>
      <w:r>
        <w:t>Dans le cas présent, A______ explique avoir transféré à B______ une somme de CHF 30'000.- en vue du rachat de parts dans le restaurant " D______ ". Il ne prétend toutefois pas avoir procédé à une quelconque vérification avant d'effectuer cette transaction. Le seul fait d'avoir constaté l'existence de l'établissement pour s'y être rendu à quelques reprises est à cet égard insuffisant et ne lui permettait en tout état ni d'avoir une quelconque certitude quant à l'identité de son propriétaire, ni une idée de la valeur de la part qui lui était prétendument cédée. Si son origine commune avec le vendeur et le fait qu'ils se côtoient de longue date a pu créer un certain sentiment de confiance, les circonstances n'étaient pas telles qu'elles pouvaient justifier de renoncer à procéder à des investigations minimales. Celles-ci étaient pourtant d'autant plus aisées que la société propriétaire était inscrite au registre du commerce, qu'elle était dotée d'un capital de CHF 100'000.- composé d'actions nominatives, que B______ n'avait aucun pouvoir de l'engager et qu'une telle acquisition sans rien connaître de la marche des affaires, en particulier sans avoir eu accès aux comptes, était particulièrement insolite et risquée. Dans ces conditions, quand bien même l'on admettrait l'existence d'une tromperie – à ce stade non établie, au vu des dénégations de son cocontractant et de tout autre élément objectif – l'on ne peut en aucun cas considérer qu'elle aurait été astucieuse. Les éléments constitutifs de l'escroquerie ne sont dès lors manifestement pas réalisés, de sorte que c'est à juste titre que le Ministère public n'est pas entré en matière sur la plainte sur ce point. Quant à l'existence d'un abus de confiance, la somme de CHF 30'000.- ne peut être considérée comme ayant été " confiée " au sens de l'art. 138 CP, dans la mesure où elle avait, selon les allégués mêmes du recourant, pour contrepartie des " parts " dans le restaurant. Le prêt de CHF 6'000.-, qui semble au demeurant avoir été remboursé, a quant à lui été concédé sans affectation particulière – la seule intention d'accélérer l'établissement des documents requis, sans autre précision, étant à cet égard trop vague – et en toute hypothèse sans qu'une destination cas échéant convenue couvre, voire même diminue, un quelconque risque de perte. Au vu de ce qui précède, c'est donc à bon droit que le Ministère public n'a pas examiné les faits sous l'angle de l'abus de confiance, infraction dont les éléments constitutifs n'étaient à l'évidence pas réunis. Partant, le recours formé par A______ doit être entièrement rejeté.</w:t>
      </w:r>
    </w:p>
    <w:p>
      <w:r>
        <w:rPr>
          <w:b/>
        </w:rPr>
        <w:t>E. 6</w:t>
      </w:r>
    </w:p>
    <w:p>
      <w:r>
        <w:t>B______ estime, quant à lui, avoir droit à une indemnité pour les frais d'avocat liés à son audition par la police.</w:t>
      </w:r>
    </w:p>
    <w:p>
      <w:r>
        <w:rPr>
          <w:b/>
        </w:rPr>
        <w:t>E. 6.1</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ces droits de procédure. Bien que cette disposition ne mentionne pas expressément l'ordonnance de non-entrée en matière, cette dernière peut également donner lieu à indemnité (ATF 139 IV 241 consid. 1).</w:t>
      </w:r>
    </w:p>
    <w:p>
      <w:r>
        <w:rPr>
          <w:b/>
        </w:rPr>
        <w:t>E. 6.2</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arrêts du Tribunal fédéral 7B_12/2021 du 11 septembre 2023 consid. 3.1.1 et 6B_380/2021 du 21 juin 2022 consid. 2.2.1).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l'État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138 IV 197 consid. 2.3.5; arrêt du Tribunal fédéral 6B_403/2015 du 25 février 2016 consid. 2.1). Le seul fait qu'un crime ou un délit soit reproché au prévenu n'entraîne pas automatiquement le droit à une indemnité au sens de l'art. 429 al. 1 let. a CPP. La jurisprudence admet en particulier que l'assistance d'un avocat ne procède pas nécessairement d'un exercice raisonnable des droits de la défense lorsque l'enquête pénale est close après une première audition par la police (ATF 138 IV 197 consid. 2.3.5 ; arrêts du Tribunal fédéral 7B_512/2023 du 30 septembre 2024 consid. 2.5.1, 6B_1282/2021 du 7 septembre 2022 consid. 4.3.1 et 6B_73/2021 du 28 février 2022 consid. 3.3.1).</w:t>
      </w:r>
    </w:p>
    <w:p>
      <w:r>
        <w:rPr>
          <w:b/>
        </w:rPr>
        <w:t>E. 6.3</w:t>
      </w:r>
    </w:p>
    <w:p>
      <w:r>
        <w:t>En l'occurrence, A______ a, certes, accusé le recourant d'un crime, au vu de la peine menace prévue par les art. 138 ch. 1 al. 2 et 146 al. 1 CP (art. 10 CP). Le recourant est par ailleurs d'origine étrangère et de langue maternelle bengali, ce qui peut naturellement être source de difficultés et d'appréhension. Il n'en demeure pas moins qu'il réside en Suisse depuis près de 30 ans et maîtrise le français. Il n'a pas fait l'objet d'une arrestation et n'a été entendu qu'à une seule reprise, par la police, sur des faits clairement circonscrits, son rôle se limitant, à ce stade, à répondre aux questions qui lui étaient posées, ce qui ne présupposait aucune connaissance juridique. L'ordonnance querellée a par ailleurs été rendue moins d'un mois plus tard, de sorte que le recourant a été rapidement fixé sur l'issue de la procédure. Dans ces circonstances, l'analyse du Ministère public, qui a estimé que l'assistance d'un avocat n'était pas nécessaire, n'est pas critiquable. Le recours sera, partant, rejeté.</w:t>
      </w:r>
    </w:p>
    <w:p>
      <w:r>
        <w:rPr>
          <w:b/>
        </w:rPr>
        <w:t>E. 7</w:t>
      </w:r>
    </w:p>
    <w:p>
      <w:r>
        <w:t>Justifiée, l'ordonnance querellée sera donc confirmée.</w:t>
      </w:r>
    </w:p>
    <w:p>
      <w:r>
        <w:rPr>
          <w:b/>
        </w:rPr>
        <w:t>E. 8</w:t>
      </w:r>
    </w:p>
    <w:p>
      <w:r>
        <w:t>Les recourants, qui succombent, supporteront les frais envers l'État, fixés en totalité à CHF 1'500.-, à raison de deux tiers à charge de A______ et du tiers restant à charge de B______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