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P/1559/2015 vom 10. Februar 2016</w:t>
      </w:r>
    </w:p>
    <w:p>
      <w:r>
        <w:t>GE Cour de justice, 2016-02-10, FR</w:t>
      </w:r>
    </w:p>
    <w:p>
      <w:r>
        <w:rPr>
          <w:b/>
        </w:rPr>
        <w:t xml:space="preserve">Quelle: </w:t>
      </w:r>
      <w:r>
        <w:t>https://mcp.opencaselaw.ch/entscheid/ge_gerichte_P_1559_2015</w:t>
      </w:r>
    </w:p>
    <w:p>
      <w:r>
        <w:t>FR: GE_GERICHTE P/1559/2015 du 10 février 2016</w:t>
      </w:r>
    </w:p>
    <w:p>
      <w:r>
        <w:t>IT: GE_GERICHTE P/1559/2015 del 10 febbraio 2016</w:t>
      </w:r>
    </w:p>
    <w:p>
      <w:pPr>
        <w:pStyle w:val="Heading2"/>
      </w:pPr>
      <w:r>
        <w:t>Regeste</w:t>
      </w:r>
    </w:p>
    <w:p>
      <w:r>
        <w:t>PRÉSOMPTION D'INNOCENCE; TÉMOIN; INFRACTIONS CONTRE LE PATRIMOINE; DISPOSITIONS PÉNALES DE LA LETR; EXERCICE ILLICITE DE LA PROSTITUTION; FIXATION DE LA PEINE; SURSIS PARTIEL À L'EXÉCUTION DE LA PEINE; ÉGALITÉ DE TRAITEMENT | CP.140; CP.186; CP.144; LEtr.115.1.c; CP.199; CP.47; CP.43; Cst.8</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Les infractions non contestées par l'appelant, réalisées à teneur du dossier, ne seront pas examinées ci-après, le jugement de première instance consacrant une correcte application du droit.</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w:t>
      </w:r>
    </w:p>
    <w:p>
      <w:r>
        <w:rPr>
          <w:b/>
        </w:rPr>
        <w:t>E. 2.2</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Selon l'art. 144 al. 1 CP, se rend coupable de dommage à la propriété celui qui aura endommagé, détruit ou mis hors d'usage une chose appartenant à autrui ou frappée d'un droit d'usage ou d'usufruit au bénéfice d'autrui. Il sera, sur plainte, puni d'une peine privative de liberté de trois ans au plus ou d'une peine pécuniaire. A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2.3</w:t>
      </w:r>
    </w:p>
    <w:p>
      <w:r>
        <w:t>En l'espèce, il est établi et non contesté que D______ a été agressé à son domicile par deux individus, dont l'un, selon le signalement oral qu'il a donné à la police, avait la peau plus foncée que l'autre. La victime a été constante dans sa description de l'arrivée de ses agresseurs, laquelle correspond à celle fournie par C______. Ainsi, tous deux expliquent qu'il y a d'abord eu tentative d'entrer avec l'accord de l'habitant des lieux, en sonnant. Face au refus d'ouvrir la porte, l'un des agresseurs a enfoncé celle-ci, à coups d'épaule, puis les deux brigands se sont engouffrés dans le logement et ont menacé la victime de sorte à la mettre hors d'état de résister. La concordance des récits renforce la crédibilité de chacun, nonobstant la variation relative à la langue parlée par le comparse d'C______. Dès sa première audition à la police, C______, dont la participation ne faisait déjà à ce stade guère de doute vu les preuves matérielles récoltées et qui n'avait donc plus d'intérêt particulier de ce point de vue à accabler un innocent, a désigné sur planche photographique A______ comme étant son comparse, étant relevé qu'il avait déjà évoqué le prénom de "A______", même s'il s'était montré hésitant sur le nom de famille. Il a également indiqué que son comparse avait la peau plus foncée que lui, détail physique remarqué par la victime, et qu'il était reparti en Roumanie après les faits, ce qui concorde avec la confirmation de trajet, produite par l'appelant, pour un voyage le 11 novembre 2014. La procédure n'a pas établi de liens entre les deux hommes qui exigeraient de considérer avec retenue cette désignation initiale. Les différends familiaux, dont fait état l'appelant, tout en restant au demeurant fort évasif et en invoquant aussi une jalousie professionnelle ainsi que des conflits abstraits de clans, ne sont en particulier nullement étayés. C______ s'est rétracté, à une seule reprise cependant, de surcroît dans une déclaration ne correspondant pas aux éléments matériels du dossier. Il a certes désigné plusieurs fois l'appelant comme étant celui qui tenait le couteau, alors que les analyses à disposition tendent à démontrer le contraire, puis même nié tout usage d'un tel objet. Cela étant, le fait de charger un comparse ou nier certains faits pour diminuer sa propre implication relève de la stratégie de défense et n'amoindrit pas la crédibilité d'C______ dans son identification de l'appelant, répétée à réitérées reprises. La victime a déclaré ne pas pouvoir reconnaître ses agresseurs lors de son audition par la police et n'a pas identifié C______ en audience de confrontation, tandis qu'elle s'est montrée affirmative sur la présence de l'appelant lorsqu'elle a été confrontée à lui, tout en répétant ne jamais avoir rencontré cette personne avant. Pour la CPAR, les contradictions de ces déclarations ne sont qu'apparentes et s'expliquent en partie par le choc subi, l'état de santé et la gêne de la victime. La planche photographique soumise par la police à D______ ne contenait pas de photographie de l'appelant. La reconnaissance de l'un des agresseurs et non l'autre indique que la victime ne souhaitait pas à tout prix désigner un coupable. Plus significativement, la victime a, au moment d'identifier l'appelant, dit qu'il s'agissait de l'agresseur qui avait enfoncé la porte, fait qu'C______ avait également rapporté lors de sa première audition. La CPAR tient pour vrai le récit de l'appelant selon lequel il s'était déjà rendu chez D______ vu les détails précis qu'il a pu fournir, par exemple sur l'état de santé de la mère de la victime. La véracité de ce point conforte toutefois la CPAR dans sa conviction qu'il est bien l'auteur des faits reprochés, cette première rencontre expliquant notamment que la victime ait reconnu l'appelant en audience de confrontation, le souvenir lui revenant plus aisément. La connaissance préalable des lieux et des mœurs de l'habitant par l'appelant rend par ailleurs plus plausible encore la version de C______ selon laquelle ils se sont rendus initialement sur place pour une prestation tarifée avec un homme homosexuel dont lui-même ne connaissait rien. Le fait de sonner à la porte s'inscrit d'ailleurs dans cette logique, beaucoup moins dans celle d'un voleur. En tout état, A______, qui a dans un premier temps beaucoup tergiversé sur les dates de ses allées et venues en Suisse, n'avait à l'époque, contrairement à ce qu'il a prétendu à l'audience de première instance, pas d'endroit où loger et aucune source de revenu. Le refus du vieil homme, qui s'était montré bon une fois à son égard, l'a poussé à entrer de force dans le domicile pour s'emparer avec son comparse d'un butin quelconque. L'appelant se prévaut encore de ses aveux sur sa rencontre initiale avec la victime pour soutenir que ses propos sont sincères. Or, il convient de relever qu'il a admis cette rencontre après que la police a attiré son attention, par l'entremise de son conseil, sur le fait que des preuves matérielles pouvaient apparaître à la suite des analyses techniques. Il savait donc déjà à ce stade qu'il ne pourrait peut-être pas cacher très longtemps sa présence sur place. Par la suite, il a adapté sa version de la première rencontre pour qu'elle coïncide avec celle donnée par la victime, ce qui le rend moins crédible. La convergence des récits d'C______ et de D______ face à celui de l'appelant permettent ainsi de retenir au-delà de tout doute raisonnable que celui-ci a participé à l'agression qui lui est reprochée. Le retour en Suisse de l'appelant en avril 2015 ne constitue pas un indice à décharge susceptible d'infirmer la conclusion qui précède, dès lors qu'il pouvait espérer ne pas être inquiété. Pour les motifs qui précèdent, le verdict de culpabilité retenu par le Tribunal correctionnel doit être confirmé, étant précisé que la qualification juridique des faits reprochés ne prête pas à discussion et n'est d'ailleurs pas contestée. 3. 3.1. 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arrêts du Tribunal fédéral 6B_569/2008 du 23 mars 2009 consid. 1.2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3.2.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arrêt du Tribunal fédéral 6B_714/2007 du 22 janvier 2008 consid. 3.2). 3.3 . En l'espèce, la peine privative de liberté de 36 mois prononcée par les premiers juges tient adéquatement compte de la faute, de gravité certaine, et des circonstances personnelles de l'appelant. Elle consacre une correcte application des critères fixés à l'art. 47 CP, ce qui n'est au demeurant pas contesté. Le principe du sursis partiel, dont les conditions sont réalisées, est acquis à l'appelant (art. 391 al. 2 CPP). Le sursis complet est exclu vu la durée de la peine (art. 42 al. 1 CP a contrario ). La CPAR estime que la partie à exécuter de la peine prononcée doit être réduite, notamment pour des motifs d'égalité de traitement avec le comparse de l'appelant. La faute de chacun est en effet similaire, hormis un concours supplémentaire pour l'appelant. Compte tenu des faits reprochés à l'appelant, qui n'a pas hésité à s'en prendre à une personne âgée et affaiblie par appât du gain, de la gravité toute relative de l'infraction de travail illégal, de sa très médiocre collaboration comparée à celle moyenne de son comparse, de l'existence d'antécédents pour celui-ci et non celui-là, de la spécificité de la procédure simplifiée et du pronostic d'avenir de l'appelant, la CPAR estime qu'il convient d'arrêter à 15 mois la partie ferme de la peine à exécuter. Le délai d'épreuve de trois ans pour la partie suspendue de la peine (21 mois) est adéquat et sera dès lors confirmé. Il en va de même de l'amende sanctionnant l'infraction d'exercice illicite de la prostitution. Le jugement entrepris sera modifié dans le sens qui précède. 4. Le maintien en détention pour des motifs de sûreté d'A______ a été prononcé par ordonnance présidentielle séparée ( OARP/35/2016 ) le 10 février 2016. 5. L'appelant, qui obtient partiellement gain de cause, supportera les trois quarts des frais de la procédure d'appel, qui comprennent dans leur totalité un émolument de CHF 3'000.- (art. 428 CPP et 14 al. 1 let. e du Règlement fixant le tarif des frais en matière pénale du 22 décembre 2010 [RTFMP ; E 4 10.03]), le solde étant laissé à la charge de l'Etat.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trente heures de travail dans un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6.3. En l'occurrence, considéré dans sa globalité, l'état de frais produit par le défenseur d'office d'A______ paraît adéquat et conforme aux principes qui précèdent, de sorte qu'il n'est pas nécessaire de reprendre le détail des postes qui le composent. Ainsi, l'indemnité sera arrêtée à CHF 772.20, correspondant à dix heures d'activité au tarif de stagiaire (majoration forfaitaire de 10% [CHF 65.-] vu l'activité déployée au cours de la procédure et TVA à 8% [CHF 57.20] incluses). 6.4. La CPAR ne perçoit pas sur quel fondement la compensation requise par le Ministère public entre l'indemnité allouée au défenseur d'office de l'appelant en première instance et celle fixée en appel pourrait ou devrait être prononcée alors que celui-ci n'a pas fait appel de cette indemnité et qu'aucun fait nouveau ne justifierait d'entrer en matière sur cette demande au titre de la révision (art. 410 ss CPP). Examiner d'office cette requête et y faire droit impliquerait de facto une modification du dispositif du jugement de première instance au détriment d'une des parties, soit ici le conseil de l'appelant, contrairement à l'interdiction de la reformatio in pejus (art. 391 al. 2 CPP ; voir arrêt du Tribunal fédéral 6B_875/2013 du 22 juillet 2013 consid. 3.2.3). Au surplus,à supposer que la faute de calcul relevât de l'erreur manifeste, il appartenait au Ministère public de demander au Tribunal correctionnel de la rectifier (art. 83 al. 1 CPP), ce qu'il n'a pas fait. Il aurait dû également dans ce cas s'offusquer de ce que la TVA n'avait pas été allouée, à tort vu la jurisprudence actuelle du Tribunal fédéral (ATF 141 IV 344 consid. 4 p. 346 ss, in SJ 2015 I 456). * * * * *</w:t>
      </w:r>
    </w:p>
    <w:p>
      <w:r>
        <w:rPr>
          <w:b/>
        </w:rPr>
        <w:t>E. 7</w:t>
      </w:r>
    </w:p>
    <w:p>
      <w:r>
        <w:t>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