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P/1557/2016 vom 25. Januar 2016</w:t>
      </w:r>
    </w:p>
    <w:p>
      <w:r>
        <w:t>GE Cour de justice, 2016-01-25, FR</w:t>
      </w:r>
    </w:p>
    <w:p>
      <w:r>
        <w:rPr>
          <w:b/>
        </w:rPr>
        <w:t xml:space="preserve">Quelle: </w:t>
      </w:r>
      <w:r>
        <w:t>https://mcp.opencaselaw.ch/entscheid/ge_gerichte_P_1557_2016</w:t>
      </w:r>
    </w:p>
    <w:p>
      <w:r>
        <w:t>FR: GE_GERICHTE P/1557/2016 du 25 janvier 2016</w:t>
      </w:r>
    </w:p>
    <w:p>
      <w:r>
        <w:t>IT: GE_GERICHTE P/1557/2016 del 25 gennaio 2016</w:t>
      </w:r>
    </w:p>
    <w:p>
      <w:pPr>
        <w:pStyle w:val="Heading2"/>
      </w:pPr>
      <w:r>
        <w:t>Regeste</w:t>
      </w:r>
    </w:p>
    <w:p>
      <w:r>
        <w:t>DÉFAUT(CONTUMACE) | CPP.355.2; CPP.356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CPP).![endif]&gt;![if&gt;</w:t>
      </w:r>
    </w:p>
    <w:p>
      <w:r>
        <w:rPr>
          <w:b/>
        </w:rPr>
        <w:t>E. 2.1</w:t>
      </w:r>
    </w:p>
    <w:p>
      <w:r>
        <w:t>À teneur de l'art. 355 al. 2 CPP, si l'opposant, sans excuse, fait défaut à une audition malgré une citation à comparaître, son opposition est déclarée retirée.![endif]&gt;![if&gt; 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 Le Tribunal fédéral considère que le retrait de l'opposition à l'ordonnance pénale doit être clair et sans ambiguïté. Un retrait tacite de l'opposition n'est pas admissible, sauf lorsque la loi prévoit une fiction de retrait (art. 355 al. 2 et 356 al. 4 CPP). En général, le justiciable peut renoncer à ses droits de procédure. Pour être compatible avec les garanties constitutionnelles, le retrait doit cependant intervenir d'une façon catégorique et dans des conditions qui ne permettent pas de douter que l'auteur de la déclaration ne subit pas d'influence et est conscient de la portée de son acte. Il est nécessaire que la déclaration soit univoque et n'intervienne pas à l'encontre des principes régissant un procès équitable. La renonciation ne doit pas nécessairement être expresse, mais peut aussi résulter d'actes concluants. Une interprétation conforme à la Constitution des dispositions de la procédure pénale exige qu'un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 L'art. 355 al. 2 CPP ne précise pas les cas dans lesquels l'absence d'un prévenu aux débats peut être excusée. À cet égard, il faut se référer aux dispositions générales concernant la procédure ordinaire (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 M. NIGGLI / M. HEER / H. WIPRÄCHTIGER, Schweizerische Strafprozessordnung / Schweizerische Jugendstrafprozessordnung, Basler Kommentar StPO/JStPO, Bâle 2011, n. 6 ad art. 205). L'empêchement doit être porté à la connaissance de l'autorité pénale sans délai et, dans la mesure du possible, avant la survenance de l'acte de procédure visé (A. KUHN / Y. JEANNERET (éds), op. cit ., n. 4 ad art. 205).</w:t>
      </w:r>
    </w:p>
    <w:p>
      <w:r>
        <w:rPr>
          <w:b/>
        </w:rPr>
        <w:t>E. 2.2</w:t>
      </w:r>
    </w:p>
    <w:p>
      <w:r>
        <w:t>En l'espèce, il est incontesté que la recourante ne s'est pas présentée à l'audience du 25 janvier 2016, bien qu'elle ait été valablement convoquée et eu connaissance des conséquences d'un éventuel défaut, sans s'excuser. À l'appui de son recours, elle allègue que le Tribunal n'a pas tenu compte du retrait de plainte de la Caisse genevoise de compensation et ne pouvait, malgré son absence, de bonne foi conclure qu'elle se désintéressait de la procédure puisqu'elle avait intégralement réglé les parts pénales des cotisations sociales. Elle ne fait état, cependant, d'aucun motif justifiant son absence à l'audience de jugement, ni celle de son conseil. Faute de toute explication, son défaut apparaît ainsi non excusable. À titre superfétatoire, il sera rappelé que ce n'est que postérieurement à la saisine du Tribunal de police, intervenue par la transmission de l'ordonnance pénale valant acte d'accusation (art. 356 al. 1 CPP), et à la convocation à l'audience que la recourante s'est acquittée des cotisations dues et que la Caisse genevoise de compensation a retiré sa plainte. La litispendance ayant été valablement créée devant le Tribunal de police (art. 328 al. CPP) et l'infraction à l'art. 87 LAVS se poursuivant d'office, la recourante, assistée par avocat dès la procédure préliminaire, ne pouvait penser que la procédure se terminerait par le retrait de plainte, ce qu'elle ne prétend d'ailleurs pas, pas plus qu'elle ne prétend avoir été empêchée de se présenter à l'audience.</w:t>
      </w:r>
    </w:p>
    <w:p>
      <w:r>
        <w:rPr>
          <w:b/>
        </w:rPr>
        <w:t>E. 3</w:t>
      </w:r>
    </w:p>
    <w:p>
      <w:r>
        <w:t>Justifiée, l'ordonnance querellée sera donc confirmée.![endif]&gt;![if&gt;</w:t>
      </w:r>
    </w:p>
    <w:p>
      <w:r>
        <w:rPr>
          <w:b/>
        </w:rPr>
        <w:t>E. 4</w:t>
      </w:r>
    </w:p>
    <w:p>
      <w:r>
        <w:t>La recourante,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