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P/15550/2022 vom 9. Juni 2023</w:t>
      </w:r>
    </w:p>
    <w:p>
      <w:r>
        <w:t>GE Cour de justice, 2023-06-09, FR</w:t>
      </w:r>
    </w:p>
    <w:p>
      <w:r>
        <w:rPr>
          <w:b/>
        </w:rPr>
        <w:t xml:space="preserve">Quelle: </w:t>
      </w:r>
      <w:r>
        <w:t>https://mcp.opencaselaw.ch/entscheid/ge_gerichte_P_15550_2022</w:t>
      </w:r>
    </w:p>
    <w:p>
      <w:r>
        <w:t>FR: GE_GERICHTE P/15550/2022 du 9 juin 2023</w:t>
      </w:r>
    </w:p>
    <w:p>
      <w:r>
        <w:t>IT: GE_GERICHTE P/15550/2022 del 9 giugno 2023</w:t>
      </w:r>
    </w:p>
    <w:p>
      <w:pPr>
        <w:pStyle w:val="Heading2"/>
      </w:pPr>
      <w:r>
        <w:t>Regeste</w:t>
      </w:r>
    </w:p>
    <w:p>
      <w:r>
        <w:t>ORDONNANCE DE NON-ENTRÉE EN MATIÈRE;DROIT D'ÊTRE ENTENDU;PLAINTE PÉNALE;RENONCIATION(SENS GÉNÉRAL);LÉSION CORPORELLE | CPP.310; CP.30; CPP.382; CPP.120; CP.123; Cst.29.al2</w:t>
      </w:r>
    </w:p>
    <w:p>
      <w:pPr>
        <w:pStyle w:val="Heading2"/>
      </w:pPr>
      <w:r>
        <w:t>Erwägungen</w:t>
      </w:r>
    </w:p>
    <w:p>
      <w:r>
        <w:rPr>
          <w:b/>
        </w:rPr>
        <w:t>E. 1.1</w:t>
      </w:r>
    </w:p>
    <w:p>
      <w:r>
        <w:t>Le recours a été déposé selon la forme et – les formalités de notification (art. 85 al. 2 CPP) n'ayant pas été observées – dans le délai prescrits (art. 385 al. 1 et 396 al. 1 CPP) contre une ordonnance sujette à recours auprès de la Chambre de céans (art. 393 al. 1 let. a CPP).![endif]&gt;![if&gt;</w:t>
      </w:r>
    </w:p>
    <w:p>
      <w:r>
        <w:rPr>
          <w:b/>
        </w:rPr>
        <w:t>E. 1.2</w:t>
      </w:r>
    </w:p>
    <w:p>
      <w:r>
        <w:t>Le recourant ayant renoncé à déposer plainte lors de son audition comme prévenu à la police le 5 juillet 2022, avant de déposer plainte auprès du Ministère public le 16 août 2022, se pose la question de savoir s'il dispose de la qualité de partie, nécessaire pour recourir (art. 382 CPP).</w:t>
      </w:r>
    </w:p>
    <w:p>
      <w:r>
        <w:rPr>
          <w:b/>
        </w:rPr>
        <w:t>E. 1.2.1</w:t>
      </w:r>
    </w:p>
    <w:p>
      <w:r>
        <w:t>La renonciation à porter plainte doit intervenir, soit par écrit, soit oralement; dans ce dernier cas, elle est consignée au procès-verbal (art. 304 al. 1 CPP). Dite renonciation est définitive (art. 30 al. 5 CP). La déclaration de l'ayant droit doit être expresse, à savoir claire et sans réserve (arrêt du Tribunal fédéral 1B_694/2021 du 8 août 2022 consid. 3.1). Le fait de renoncer à porter plainte emporte renonciation au statut de partie plaignante (Y. JEANNERET / A. KUHN / C. PERRIER DEPEURSINGE (éds), Commentaire romand : Code de procédure pénale suisse , 2 ème éd., Bâle 2019, n. 9 ad art. 120, position exprimée en lien avec le retrait de la plainte, transposable, mutatis mutandis , à la renonciation à déposer plainte). La renonciation à un tel statut – qui est aussi définitive – doit être exprimée sans équivoque (art. 120 al. 1 CPP). L'autorité doit s'assurer que l'intéressé entend bel et bien renoncer à ses droits procéduraux, quitte à utiliser des formulaires préimprimés donnant toutes explications utiles sur les modalités et les conséquences de la renonciation (arrêt du Tribunal fédéral 1B_694/2021 précité).</w:t>
      </w:r>
    </w:p>
    <w:p>
      <w:r>
        <w:rPr>
          <w:b/>
        </w:rPr>
        <w:t>E. 1.2.2</w:t>
      </w:r>
    </w:p>
    <w:p>
      <w:r>
        <w:t>En l'espèce, le 5 juillet 2022, sur question de la police qui lui a demandé s'il souhaitait déposer plainte contre B______, le recourant a répondu négativement. Or, la police ne semble pas l'avoir informé des conséquences d'une telle renonciation, à savoir qu'elle serait définitive. L'on ne peut donc retenir, dans un tel contexte, que le recourant a (valablement) renoncé à ses droits. Ce dernier ayant porté plainte le 16 août 2022, il revêt, en conséquence, la qualité de partie plaignante.</w:t>
      </w:r>
    </w:p>
    <w:p>
      <w:r>
        <w:rPr>
          <w:b/>
        </w:rPr>
        <w:t>E. 1.3</w:t>
      </w:r>
    </w:p>
    <w:p>
      <w:r>
        <w:t>De plus, le recourant dispose d'un intérêt juridiquement protégé à la modification ou à l'annulation de la décision querellée (art. 382 al. 1 CPP). Le recours est ainsi recevable.</w:t>
      </w:r>
    </w:p>
    <w:p>
      <w:r>
        <w:rPr>
          <w:b/>
        </w:rPr>
        <w:t>E. 2</w:t>
      </w:r>
    </w:p>
    <w:p>
      <w:r>
        <w:t>Le recourant semble tout d'abord se plaindre du non-respect de son droit d'être entendu. ![endif]&gt;![if&gt;</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(art. 107 al. 1, 146 et 147 CPP; ATF 142 II 218 consid. 2.3; 140 I 285 consid. 6.3.1).![endif]&gt;![if&gt; Diverses mesures d'investigation peuvent être mises en œuvre avant l'ouverture d'une instruction, telle que l'audition des lésés et suspects par la police sur délégation du ministère public (art. 206 al. 1 et 306 al. 2 let. b cum art. 309 al. 2 CPP ;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2.2</w:t>
      </w:r>
    </w:p>
    <w:p>
      <w:r>
        <w:t>En l'espèce, l'audition du mis en cause a été effectuée dans le cadre des investigations policières, sans qu'une instruction n'ait été ouverte. Dans ces circonstances, la procédure n'a pas dépassé le stade des premières investigations, ce qui permettait au Ministère public de rendre une ordonnance de non-entrée en matière et, partant, le dispensait d'interpeller ou d'entendre le recourant. ![endif]&gt;![if&gt; Pour le surplus, le recourant a pu faire valoir devant la Chambre de céans les arguments qu'il estimait pertinents, en particulier ses déterminations sur l'audition du mis en cause et les actes d'instruction sollicités. Son droit d'être entendu a ainsi été pleinement respecté. Il s'ensuit que le grief doit être rejeté.</w:t>
      </w:r>
    </w:p>
    <w:p>
      <w:r>
        <w:rPr>
          <w:b/>
        </w:rPr>
        <w:t>E. 3</w:t>
      </w:r>
    </w:p>
    <w:p>
      <w:r>
        <w:t>Le recourant reproche au Ministère public de ne pas être entré en matière sur sa plainte. ![endif]&gt;![if&gt;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de se prononcer (ATF 143 IV 241 consid. 2.2.1; 138 IV 86 consid. 4.1.2).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p. 243). Cela vaut en particulier lorsqu'il s'agit de délit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3.2</w:t>
      </w:r>
    </w:p>
    <w:p>
      <w:r>
        <w:t>Selon l'art. 123 ch. 1 CP, celui qui, intentionnellement, aura fait subir à une personne une atteinte à l'intégrité corporelle ou à la santé sera, sur plainte, puni d'une peine privative de liberté de trois ans au plus ou d'une peine pécuniaire. Cette disposition concerne les lésions du corps humain ou de la santé qui ne peuvent être qualifiées de graves au sens de l'art. 122 CP. Elle protège l'intégrité corporelle et la santé tant physique que psychique.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(arrêt du Tribunal fédéral 6B_166/2017 du 16 novembre 2017 consid. 2.2 et références citées).</w:t>
      </w:r>
    </w:p>
    <w:p>
      <w:r>
        <w:rPr>
          <w:b/>
        </w:rPr>
        <w:t>E. 3.3</w:t>
      </w:r>
    </w:p>
    <w:p>
      <w:r>
        <w:t>À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L'équivalence des deux formes de dol – direct et éventuel – s'appliquent également à la tentative (arrêt du Tribunal fédéral 6B_1297/2017 du 26 juillet 2018 consid. 5.1 et références citées).</w:t>
      </w:r>
    </w:p>
    <w:p>
      <w:r>
        <w:rPr>
          <w:b/>
        </w:rPr>
        <w:t>E. 3.4</w:t>
      </w:r>
    </w:p>
    <w:p>
      <w:r>
        <w:t>Le procureur qui classe la procédure dirigée contre un individu en raison d'un fait justificatif, alors que la culpabilité du second protagoniste impliqué dans l'altercation n'a pas encore été légalement constatée, viole la présomption d'innocence de ce dernier, garantie par les art. 10 al. 1 CPP et 6 par. 2 CEDH. Dans pareille configuration, impliquant des intervenants dont les comportements sont intimement liés, il incombe au ministère public de renvoyer tous les intéressés en jugement afin que le magistrat du fond se prononce sur les conditions de réalisation des infractions et, le cas échéant, sur un motif justificatif allégué (ATF 147 I 386 consid. 1.2 et 1.5, rendu dans un cas de légitime défense).</w:t>
      </w:r>
    </w:p>
    <w:p>
      <w:r>
        <w:rPr>
          <w:b/>
        </w:rPr>
        <w:t>E. 5</w:t>
      </w:r>
    </w:p>
    <w:p>
      <w:r>
        <w:t>Le recourant, qui succombe, supportera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