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P/1554/2015 vom 15. Oktober 2016</w:t>
      </w:r>
    </w:p>
    <w:p>
      <w:r>
        <w:t>GE Cour de justice, 2016-10-15, FR</w:t>
      </w:r>
    </w:p>
    <w:p>
      <w:r>
        <w:rPr>
          <w:b/>
        </w:rPr>
        <w:t xml:space="preserve">Quelle: </w:t>
      </w:r>
      <w:r>
        <w:t>https://mcp.opencaselaw.ch/entscheid/ge_gerichte_P_1554_2015</w:t>
      </w:r>
    </w:p>
    <w:p>
      <w:r>
        <w:t>FR: GE_GERICHTE P/1554/2015 du 15 octobre 2016</w:t>
      </w:r>
    </w:p>
    <w:p>
      <w:r>
        <w:t>IT: GE_GERICHTE P/1554/2015 del 15 ottobre 2016</w:t>
      </w:r>
    </w:p>
    <w:p>
      <w:pPr>
        <w:pStyle w:val="Heading2"/>
      </w:pPr>
      <w:r>
        <w:t>Regeste</w:t>
      </w:r>
    </w:p>
    <w:p>
      <w:r>
        <w:t>NÉGLIGENCE ; ERREUR ; REFORMATIO IN PEJUS | LEtr.117.3 CPP.9.1 CPP.325.1 CP.12.3 CP.21 CPP.391.2 CPP.429.1.a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notamment la question de la culpabilité, le cas échéant en rapport avec chacun des actes (let. a) ; la quotité de la peine (let. b) ; les conséquences accessoires du jugement (let. e) ; les frais, les indemnités et la réparation du tort moral (let. f). La Chambre limite son examen aux violations décrites dans l'acte d'appel (art. 404 al. 1 CPP), sauf en cas de décisions illégales ou inéquitables (art. 404 al. 2 CPP).</w:t>
      </w:r>
    </w:p>
    <w:p>
      <w:r>
        <w:rPr>
          <w:b/>
        </w:rPr>
        <w:t>E. 2</w:t>
      </w:r>
    </w:p>
    <w:p>
      <w:r>
        <w:t>2.1. Les art. 9 al.1 CPP et 325 al. 1 CPP énoncent la maxime d'accusation et stipulent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p. 244 ; 126 I 19 consid. 2a p. 21 ; arrêt du Tribunal fédéral 6B_418/2014 du 27 janvier 2015 consid. 1.1).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Le tribunal est lié par l'état de frais décrit dans l'acte d'accusation mais non par l'appréciation juridique qu'en fait le MP (art. 350 al. 1 CPP).</w:t>
      </w:r>
    </w:p>
    <w:p>
      <w:r>
        <w:rPr>
          <w:b/>
        </w:rPr>
        <w:t>E. 2.2</w:t>
      </w:r>
    </w:p>
    <w:p>
      <w:r>
        <w:t>Le principe in dubio pro reo , qui découle de la présomption d'innocence, garantie par l'art. 6 ch. 2 CEDH et, sur le plan interne, par les art. 32 al. 1 Cst.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w:t>
      </w:r>
    </w:p>
    <w:p>
      <w:r>
        <w:rPr>
          <w:b/>
        </w:rPr>
        <w:t>E. 2.3</w:t>
      </w:r>
    </w:p>
    <w:p>
      <w:r>
        <w:t>Selon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Cette infraction est également réprimée par négligence d'une amende de CHF 20'000.- au plus (al. 3). D'après la jurisprudence, le terme "employer" doit être compris de manière large, comme consistant à proposer une rémunération à une personne contre ses services, indépendamment de l'existence formelle d'un contrat de travail au sens des art. 319 ss CO, et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p. 156 ; ATF 128 IV 170 consid. 4 p. 174 ss ; arrêt du Tribunal fédéral 6B_176/2007 consid. 3.2). 2.4.1. Agit intentionnellement quiconque commet un crime ou un délit avec conscience et volonté (art. 12 al. 2 du code pénal suisse du 21 décembre 1937 (CP ;  RS 311.0)).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135 IV 156 consid. 2.3.2 ; 134 IV 26 consid. 3.2.2 p. 28 ; 133 IV 9 consid. 4.1 p. 16 ; 131 IV 1 consid. 2.2 p. 4 s. ; 130 IV 58 consid. 8.2 p. 61 ; arrêt du Tribunal fédéral 6B_132/2015 du 21 avril 2015 consid. 2.2.2). Le dol éventuel est une forme d'intention, qui se distingue de la négligence consciente sur le plan volitif, non pas cognitif. La délimitation entre les deux peut ainsi se révéler délicate. Dans les deux cas, l'auteur est conscient que le résultat illicite pourrait se produire, mais, alors que celui qui agit par négligence consciente escompte qu'il ne se produira pas, celui qui agit par dol éventuel l'accepte pour le cas où il se produirait (ATF 134 IV 26 consid. 3.2.2. et 3.2.4. p. 28 s. ; ATF 133 IV 9 consid. 4 p. 15 ss ; arrêts du Tribunal fédéral 6B_1189/2014 du 23 décembre 2015 consid. 5.2 et 6B_109/2009 du 9 avril 2009 consid. 2.2).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du résultat dommageable (ATF 134 IV 26 consid. 3.2.2 p. 29 ; ATF 131 IV 1 consid. 2.2 p. 5).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137 IV 1 consid. 4.2.3 p. 4 ; ATF 133 IV 222 consid. 5.3 p. 225-226 ; arrêt du Tribunal fédéral 6B_590/2014 du 12 mars 2015 consid. 2). Cette interprétation raisonnable doit prendre en compte le degré de probabilité de la survenance du résultat de l'infraction reprochée, tel qu'il apparaît à la lumière des circonstances et de l'expérience de la vie (ATF 133 IV 1 consid. 4.6 p. 7-8). La probabilité doit être d'un degré élevé car le dol éventuel ne peut pas être admis à la légère (ATF 133 IV 9 consid. 4.2.5 p. 19 ; arrêts du Tribunal fédéral 6B_519/2007 du 29 janvier 2008 consid. 3 et 6S.127/2007 du 6 juillet 2007 consid. 2.3). 2.4.2. En vertu de l'art. 12 al. 3 CP, agit par négligence quiconque, par une imprévoyance coupable, commet un crime ou un délit sans se rendre compte des conséquences de son acte ou sans en tenir compte et sans user des précautions commandées par les circonstances et sa situation personnelle. Pour qu'il y ait négligence, il faut, en premier lieu, que l'auteur ait violé les règles de prudence que les circonstances lui imposaient pour ne pas excéder les limites du risque admissible et que, d'autre part, il ait agit de manière fautive soit ne pas avoir déployé l'attention et les efforts qu'on pouvait attendre de lui pour se conformer à son devoir de prudence (ATF 134 IV 255 consid. 4.2.3 p. 262 ; ATF 133 IV 158 consid. 5.1 p. 161 ss ; ATF 129 IV 119 consid. 2.1 p. 121 ; ATF 122 IV 145 consid. 3 p. 147 ; arrêt du Tribunal fédéral 6B_126/2014 du 13 mai 2014 consid. 1.1). A cela s'ajoute que la violation fautive d'un devoir de prudence doit avoir été la cause naturelle et adéquate du résultat obtenu (ATF 133 IV 158 consid. 6 p. 167 ; ATF 129 IV 119 consid. 2.4 p. 123).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L'exigence de la causalité adéquate est toutefois parfois absorbée dans le concept de négligence, dans la mesure où la prévisibilité intervient pour déterminer s'il y a eu négligence en recourant à la théorie de l'adéquation (CORBOZ, Commentaire romand, CP I, 2009, n. 96 ad art. 12 CP ; cf. par exemple ATF 135 IV 56 consid 2.1 p. 64 ; ATF 129 IV 282 consid. 2.1 p. 284).</w:t>
      </w:r>
    </w:p>
    <w:p>
      <w:r>
        <w:rPr>
          <w:b/>
        </w:rPr>
        <w:t>E. 2.5</w:t>
      </w:r>
    </w:p>
    <w:p>
      <w:r>
        <w:t>Selon l'art. 21 CP, quiconque ne sait ni ne peut savoir au moment d'agir que son comportement est illicite n'agit pas de manière coupable. Le juge atténue la peine si l'erreur était évitable. Cette disposition règle le cas où l'auteur se trompe sur le caractère illicite de l'acte. Pour qu'il y ait erreur sur l'illicéité, il faut que l'auteur ne sache ni ne puisse savoir que son comportement est illicite. L'auteur doit agir alors qu'il se croyait en droit de le faire, question qui relève de l'établissement des faits (ATF 129 IV 238 consid. 3.1 p. 241, 129 IV 6 consid. 4.1 p. 18 et les références citées). Il pense, à tort, que l'acte concret qu'il commet est conforme au droit. Lorsque le doute est permis quant à la légalité d'un comportement, l'auteur doit, dans la règle, s'informer de manière plus précise auprès de l'autorité compétente (arrêt précité). L'ignorance de la loi ne constitue en principe pas une raison suffisante et il appartient à celui qui se trouve face à une situation juridique qu'il ne maîtrise pas de prendre les renseignements nécessaires.</w:t>
      </w:r>
    </w:p>
    <w:p>
      <w:r>
        <w:rPr>
          <w:b/>
        </w:rPr>
        <w:t>E. 2.6</w:t>
      </w:r>
    </w:p>
    <w:p>
      <w:r>
        <w:t>L'ordonnance pénale valant acte d'accusation retient, au plan des faits, que l'appelant a agi dans des circonstances particulières qui font qu'il a procédé par imprudence plutôt qu'avec l'intention de contrevenir à la législation sur le séjour et l'emploi des étrangers, fût-ce en s'accommodant de cette éventualité. Conformément au principe accusatoire, le juge du fond est lié par cet état de fait, de sorte que le Tribunal de police ne pouvait s'en écarter pour retenir que l'appelant avait agi intentionnellement et le retenir coupable d'une infraction à l'art. 117 al. 1 LEtr. Pour autant, c'est à tort que l'appelant, sans discuter la question de la négligence, plaide son acquittement pur et simple. Il reconnait en effet désormais qu'il connaissait la situation administrative de son associé, celui-ci lui ayant fait une traduction fidèle de la convention. Il peut d'autant moins plaider l'erreur de droit qu'il était particulièrement bien placé pour savoir quelles sont les conditions auxquelles est soumis le statut des étrangers, plus particulièrement de ceux qui ne bénéficient pas des règles sur la libre circulation, pour avoir dû lui-même, quelques mois seulement avant les faits, accomplir toutes les formalités en vue de sa propre installation en Suisse et avoir à cette fin constitué une société au travers de laquelle il exerce ses activités. Par ailleurs, il n'établit pas qu'il aurait été mal renseigné par l'avocat qui a rédigé ladite convention. Force est donc de retenir qu'il s'est montré au moins imprudent, comme retenu par le MP dans l'ordonnance pénale. Il ne saurait pas davantage être question d'un classement en opportunité, le prononcé d'une sanction appropriée au degré de faute ne paraissant pas choquant (ATF 117 IV 302 consid. 3b/cc ; arrêt du Tribunal fédéral 6B_299/2011 du 1er septembre 2011 consid. 3.4). L'appel sera ainsi partiellement admis, l'appelant étant reconnu coupable de violation de l'art. 117 al. 3 LEtr.</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L'interdiction de la reformatio in pejus , consacrée par l'art. 391 al. 2 CPP, prohibe l'aggravation de la situation d'une partie par une décision défavorable rendue à la suite d'un recours émanant uniquement de celle-ci. L'interdiction s'attache au dispositif de la décision (cf. VIKTOR LIEBER, in Kommentar zur Schweizerischen Strafprozessordnung , DONATSCH/HANSJAKOB/LIEBER [éd.], 2010, n° 10 ad art. 391 CPP). En règle générale, une amende ne peut être prononcée en lieu et place d'une peine pécuniaire assortie du sursis, sous peine de violer ce principe. Ce n'est que si le montant de la peine pécuniaire avec sursis dépasse largement celui de l'amende que celle-ci peut être prononcée en lieu et place (arrêt du Tribunal fédéral 6B_523/2014 du 15 décembre 2014 consid. 4.3).</w:t>
      </w:r>
    </w:p>
    <w:p>
      <w:r>
        <w:rPr>
          <w:b/>
        </w:rPr>
        <w:t>E. 3.3</w:t>
      </w:r>
    </w:p>
    <w:p>
      <w:r>
        <w:t>A teneur de l'art. 117 al. 3 LEtr, l'infraction est punie d'une amende de CHF 20'000.- au plus. En vertu de l'art. 106 al. 2 CP, le juge prononce dans son jugement pour le cas où, de manière fautive, le condamné ne paie pas l'amende, une peine privative de liberté de substitution d'un jour au moins et de trois mois au plus. L'amende, de même que la peine privative de liberté de substitution, doit être fixée en tenant compte de la situation de l'auteur afin que la peine corresponde à la faute commise (art. 106 al. 3 CP). Un jour de peine privative de liberté de substitution correspond schématiquement à CHF 100.- d'amende (R. ROTH / L. MOREILLON (éds), Commentaire romand Code pénal I : art. 1-100 CP , Bâle 2009, n. 19 ad art. 106).</w:t>
      </w:r>
    </w:p>
    <w:p>
      <w:r>
        <w:rPr>
          <w:b/>
        </w:rPr>
        <w:t>E. 3.4</w:t>
      </w:r>
    </w:p>
    <w:p>
      <w:r>
        <w:t>En l'espèce, la faute de l'appelant est légère, compte tenu de la courte période pénale. Il a cherché au cours de la procédure à clarifier la situation, en fournissant tous les documents concernant les différentes personnes contrôlées ainsi que la convention de rachat du fonds de commerce, et en demandant l'audition de C_______. Sa collaboration peut dès lors être qualifiée de bonne. L'appelant est sans antécédent, élément neutre s'agissant de la fixation de la peine (ATF 136 IV 1 consid. 2.6). Compte tenu de la faute et de la situation personnelle de l'appelant, une amende de CHF 500.- sera prononcée en lieu et place de la peine pécuniaire de 20 jours-amende à CHF 150.- l'unité avec sursis. Eu égard à la forte diminution du montant encouru et de l'absence d'inscription de cette contravention au casier judiciaire (art. 366 CP et art. 3 al. 1 lit. c ch. 1 de l'ordonnance sur le casier judiciaire du 29 septembre 2006 (Ordonnance VOSTRA ; RS 331)), élément primordial pour l'appelant compte tenu de sa situation administrative incertaine, le principe de la reformatio in pejus n'apparait exceptionnellement pas violé.</w:t>
      </w:r>
    </w:p>
    <w:p>
      <w:r>
        <w:rPr>
          <w:b/>
        </w:rPr>
        <w:t>E. 4.1</w:t>
      </w:r>
    </w:p>
    <w:p>
      <w:r>
        <w:t>Selon l'art. 429 al. 1 let. a CPP, le prévenu acquitté a droit à une indemnité pour les dépenses occasionnées par l'exercice raisonnable de ses droits de procédure. Cette disposition s'applique aux voies de recours (y inclus l'appel) en vertu de l'art. 436 al. 1 CPP (arrêt du Tribunal fédéral 6B_65/2012 du 23 février 2012 consid. 2). Cette indemnité est en principe due par l'Etat (Message relatif à l'unification du droit de la procédure pénale (CPP) du 21 décembre 2005, FF 2006 1309), en vertu de sa responsabilité causale dans la conduite des procédures pénales (N. SCHMID, Schweizerische Strafprozessordnung : Praxiskommentar , Zurich 2009, n. 6 ad art. 429). Encore faut-il que l'assistance d'un avocat ait été nécessaire, compte tenu de la complexité de l'affaire en fait ou en droit, et que le volume de travail de l'avocat était ainsi justifié (Message, ibid. ). Les honoraires d'avocat se calculent selon le tarif local, à condition qu'ils restent proportionnés (N. SCHMID, op. cit. , n. 7 ad art. 429).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op. cit. , n. 19 ad art. 429). Lorsque le juge est amené à fixer l'indemnité pour les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Si le prévenu est libéré d'un chef d'accusation et condamné pour un autre, il sera condamné aux frais relatifs à sa condamnation et aura respectivement droit à une indemnité correspondant à son acquittement partiel ( cf . Message relatif à l'unification du droit de la procédure pénale du 21 décembre 2005, FF 2006 1313 ad art. 438 CPP [actuel art. 430 CPP] ; arrêts du Tribunal fédéral 6B_187/2015 du 28 avril 2015 consid. 6.1.2 et 6B_300/2012 du 10 juin 2013 consid. 2.4).</w:t>
      </w:r>
    </w:p>
    <w:p>
      <w:r>
        <w:rPr>
          <w:b/>
        </w:rPr>
        <w:t>E. 4.2</w:t>
      </w:r>
    </w:p>
    <w:p>
      <w:r>
        <w:t>Selon les art. 426 al. 1 et 428 al. 1 CPP, les frais de la procédure de première instance – que la CPAR est tenue de revoir lorsqu'elle rend une nouvelle décision (art. 428 al. 3 CPP) – et d'appel sont mis à la charge des parties dans la mesure où elles succombent. L’art. 442 al. 4 CPP stipule que les autorités pénales peuvent compenser les créances portant sur des frais de procédure avec les indemnités accordées à la partie débitrice dans la même procédure et avec des valeurs séquestrées. Vu les acquittements prononcés en première instance, l'appelant a été condamné à tort à l'intégralité des frais. Il sera condamné à un quart de ceux-ci, le solde étant laissé à la charge de l'Etat. En appel, il succombe en partie, et supportera la moitié des frais de procédure, ceux-ci comprenant un émolument de jugement de CHF 1'500.- (art. 14 al. 1 let. e du Règlement fixant le tarif des frais en matière pénale ; E 4 10.03).</w:t>
      </w:r>
    </w:p>
    <w:p>
      <w:r>
        <w:rPr>
          <w:b/>
        </w:rPr>
        <w:t>E. 4.3</w:t>
      </w:r>
    </w:p>
    <w:p>
      <w:r>
        <w:t>L'acquittement de l'appelant en première instance pour trois chefs d'accusation sur quatre lui ouvre le droit à une indemnisation de ses frais de défense, supérieure aux CHF 2'000.- qui lui ont été précédemment alloués. Le recours à un avocat était en effet nécessaire vu la peine menace encourue. Reste à déterminer le montant adéquat. Les honoraires réclamés sont justifiés au regard des prestations fournies, excepté la double facturation de différents rendez-vous auxquels un avocat breveté et un stagiaire ont participé, ainsi que les actes compris dans la formation de ce dernier. La présence de l'avocat breveté en tant que traducteur ne saurait justifier celle du stagiaire. Le chef d'étude aurait en effet soit pu officier seul, soit dû demander les services d'un traducteur pour assister son stagiaire, dont les honoraires sont moins élevés que les siens propres. Il y a donc lieu de procéder à un retranchement de la moitié des heures effectuées par le stagiaire en première instance, pour l'accompagnement de son maître de stage en rendez-vous et en audience devant le MP, et une heure et dix minutes en appel au titre de discussions internes. Les frais de taxi seront également écartés eu égard à la possibilité d'utiliser les transports en commun. Une réduction des heures effectivement retenues sera également opérée selon les taux appliqués pour l'attribution des frais de justice, dans la mesure où A_______ n'obtient pas intégralement gain de cause. L'appelant se verra par conséquent allouer la somme de CHF 8'894.35, TVA comprise pour ses frais de défense, correspondant à : - trois quarts des 17 heures au tarif de chef d'étude et des 17 heures retenues au tarif applicable aux avocats-stagiaires pour la procédure de première instance (CHF 7'650.-) ; - la moitié des deux heures et 50 minutes retenues au tarif applicable aux avocats-stagiaires en appel (CHF 212.50) ; - CHF 373.- de frais de dossier ; - CHF 658.85 de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