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P/15545/2010 vom 5. April 2018</w:t>
      </w:r>
    </w:p>
    <w:p>
      <w:r>
        <w:t>GE Cour de justice, 2018-04-05, FR</w:t>
      </w:r>
    </w:p>
    <w:p>
      <w:r>
        <w:rPr>
          <w:b/>
        </w:rPr>
        <w:t xml:space="preserve">Quelle: </w:t>
      </w:r>
      <w:r>
        <w:t>https://mcp.opencaselaw.ch/entscheid/ge_gerichte_P_15545_2010</w:t>
      </w:r>
    </w:p>
    <w:p>
      <w:r>
        <w:t>FR: GE_GERICHTE P/15545/2010 du 5 avril 2018</w:t>
      </w:r>
    </w:p>
    <w:p>
      <w:r>
        <w:t>IT: GE_GERICHTE P/15545/2010 del 5 aprile 2018</w:t>
      </w:r>
    </w:p>
    <w:p>
      <w:pPr>
        <w:pStyle w:val="Heading2"/>
      </w:pPr>
      <w:r>
        <w:t>Regeste</w:t>
      </w:r>
    </w:p>
    <w:p>
      <w:r>
        <w:t>CONCURRENCE DÉLOYALE ; DISPOSITIONS PÉNALES DE LA LCD ; PRINCIPE DE L'ACCUSATION ; FAUX MATÉRIEL DANS LES TITRES ; PEINE PÉCUNIAIRE ; INDEMNITÉ(EN GÉNÉRAL) | CP.251; CPP.9; LCD.5; LCD.23; CP.13; CP.24; CP.34; CPP.426; CPP.429.al1.leta; CPP.433.al1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appelants concluent à leur acquittement d'infraction à l'art. 23 LCD. 2.1.1.1.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(arrêt du Tribunal fédéral 6B_947/2015 du 29 juin 2017 consid. 7.1 et les références). 2.1.1.2.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L'art. 333 al. 1 CPP prévoit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fonder son jugement sur une accusation modifiée ou complétée que si les droits de partie du prévenu et de la partie plaignante ont été respectés (art. 333 al. 4 CPP). Le tribunal peut toutefois retenir dans son jugement des faits ou des circonstances complémentaires, lorsque ceux-ci sont secondaires et n'ont aucune influence sur l'appréciation juridique (au sujet des vices de moindre importance de l'acte d'accusation : arrêt du Tribunal fédéral 6B_947/2015 du 29 juin 2017 consid. 7.1 et les références). 2.1.2.1. Selon l'art. 2 LCD est déloyal et illicite tout comportement ou pratique commercial qui est trompeur ou qui contrevient de toute autre manière aux règles de la bonne foi et qui influe sur les rapports entre concurrents ou entre fournisseurs et clients. 2.1.2.2. Aux termes de l'art. 5 LCD, agit de façon déloyale celui qui exploite de façon indue le résultat d'un travail qui lui a été confié, par exemple des offres, des calculs ou des plans (lit. a), exploite le résultat du travail d'un tiers, par exemple des offres, des calculs ou des plans, bien qu'il sache que ce résultat lui a été remis ou rendu accessible de façon indue (lit. b). Pour que l'art. 5 lit. a LCD soit applicable, il faut, d'une part, que le résultat d'un travail ait été confié à l'auteur et, d'autre part, que celui-ci l'utilise contrairement aux accords passés, qu'il le détourne de la destination convenue. Le caractère déloyal de l'acte réside dans la trahison de la confiance donnée (arrêt du Tribunal fédéral 6S.684/2001 du 18 janvier 2002 consid. 1.b; 6B_672/2012 du 19 mars 2013). Le terme de " résultat d'un travail " couvre le résultat d'un travail de nature préparatoire, qui se situe en amont de l'utilisation commerciale. Peuvent constituer le résultat d'un travail des esquisses, des études ou des concepts. Un certain effort intellectuel et/ou matériel doit avoir conduit au résultat obtenu. En revanche, la loi ne réprime pas la reprise d'une simple idée confiée par un tiers qui n'en serait encore qu'à un stade embryonnaire et qui, partant, nécessite encore un long travail de mise au point (arrêt du Tribunal fédéral 6B_672/2012 précité et la jurisprudence et la doctrine citées). Cette notion doit être comprise de manière large et englobe ainsi tant les choses corporelles que les choses incorporelles. Toutefois, il est de jurisprudence constante que si le résultat d'un travail peut être une chose incorporelle, celle-ci doit prendre corps dans un support matériel. En effet, il faut que la prestation puisse matériellement être confiée, remise ou reproduite (MARTENET/PICHONNAZ, Loi contre la concurrence déloyale, in Commentaire romand, Helbing &amp; Lichtenhahn, Bâle, 2017, p. 308, N 14 ad art. 5). 2.1.2.3. Un sujet de droit ne peut se prévaloir de l'art. 5 LCD que s'il souffre du fait qu'un tiers a exploité le résultat de son travail. Un concurrent ne peut pas être sanctionné sur la base de cette disposition s'il reprend le résultat d'un travail mais qu'il ne l'exploite pas. Tel sera le cas s'il se contente d'utiliser le travail d'un tiers à titre privé et non à des fins commerciales ou industrielles (MARTENET /PICHONNAZ, op. cit. , p. 311, N 27ss ad art. 5). L'exploitation de la prestation d'un tiers n'est pas à elle seule constitutive d'une infraction à la LCD. Il faut encore que cette appropriation permette à celui qu'elle sert de proposer sur le marché de façon déloyale un produit concurrent. Le caractère déloyal viendra le plus souvent du fait qu'en s'appropriant le travail d'un autre, le concurrent fait l'économie de certaines étapes nécessaires à la réalisation d'un produit ou d'un service et qu'il peut donc offrir des prix plus bas que ses concurrents (Message LCD, p. 1078). Ainsi, pour qu'il y ait concurrence déloyale, il ne suffit pas que le comportement apparaisse déloyal au regard de la liste d'exemples figurant aux art. 3 à 8 LCD ;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Il n'est en revanche pas nécessaire que l'auteur ait la volonté d'influencer l'activité économique. La LCD ne protège donc pas la bonne foi de manière générale, mais tend seulement à garantir une concurrence loyale (ATF 126 III 198 consid. 2c p. 202). 2.1.2.4. Selon l'art. 23 al. 1 LCD, quiconque, intentionnellement, se rend coupable de concurrence déloyale au sens des art. 3, 4, 5 ou 6 est, sur plainte, puni d'une peine privative de liberté de trois ans au plus ou d'une peine pécuniaire. En pratique, il suffit que l'auteur adopte un certain comportement punissable pour que l'infraction soit consommée. Ce qui compte est la possibilité abstraite d'influencer le marché, sans que les rapports entre concurrents ou entre fournisseurs et clients aient été réellement lésés ou concrètement menacés. Ainsi, l'art. 23 al. 1 LCD constitue une infraction de mise en danger abstraite. Pour être punissable, l'acte doit néanmoins être propre à altérer le jeu de la concurrence et le fonctionnement du marché, c'est-à-dire les relations entre concurrents ou celles entre fournisseurs et clients. Les actes visés aux art. 3 à 6 LCD décrivent des délits formels ou de pure activité, lesquels ne dépendent pas de la survenance d'un résultat comme élément de l'énoncé de fait légal de l'infraction. Par conséquent, l'auteur sera puni uniquement sur la base de l'adoption du comportement réprimé par la disposition en question, indépendamment de savoir si la personne visée a subi un préjudice ou non dans ses intérêts économiques. En principe, le droit pénal n'intervient que lorsque les atteintes aux intérêts des particuliers ou de la collectivité sont si graves que la seule réparation du préjudice est insuffisante. Ce constat, de même que les exigences strictes en matière de respect du principe de la légalité en droit pénal impliquent d'interpréter de manière restrictive l'énoncé de fait légal lorsqu'il s'agit de déterminer s'il constitue une infraction pénale (MARTENET/PICHONNAZ, op. cit. ,, p. 538, N 5, 15 et 16 ad art. 23).</w:t>
      </w:r>
    </w:p>
    <w:p>
      <w:r>
        <w:rPr>
          <w:b/>
        </w:rPr>
        <w:t>E. 2.2</w:t>
      </w:r>
    </w:p>
    <w:p>
      <w:r>
        <w:t>En l'espèce, l'acte d'accusation reproche à l'appelant A______ d'avoir fait dans ______ du ______ 2010 un commentaire en qualité de responsable de projet de la société G______ alors qu'il était employé de F______ et d'avoir rappelé la récente liquidation de J______, société concurrente de G______. Il lui reproche également d'avoir, toujours dans ledit article, comparé les services que pouvait offrir G______ à ceux que d'autres concurrents offraient en se fiant aux informations qu'il avait reçues de sociétés clientes de F______, soit C______, H______ et I______. Il reproche enfin à A______ d'avoir, en compagnie de B______, approché H______ alors cliente de F______, pour lui vendre les services de G______ en vue d'influencer les rapports contractuels entre H______ et F______. Parallèlement, l'acte d'accusation reproche à B______ d'avoir rappelé la liquidation de J______ dans l'article précité de ______ et comparé les services que G______ pouvait offrir à ceux que ses concurrents offraient en se fiant aux informations reçues par A______ des sociétés C______, I______ et H______, clientes de F______ ainsi que d'avoir approché H______ pour lui vendre les services de G______ en vue d'influencer les rapports contractuels de cette dernière avec F______. En préalable, la CPAR relèvera que ni I______, ni C______ n'étaient clientes de F______ à l'époque des faits, contrairement à ce qui est retenu dans l'acte d'accusation. En outre, F______ et G______ n'étaient pas des sociétés concurrentes, leur activité étant bien distincte comme le démontre le fait que G______ a été en mesure de proposer à F______ un audit en matière de sécurité informatique, ce que M______, représentant de F______, n'a pas contesté devant le MP. De surcroît, H______ a résilié son contrat avec F______ non pas en raison d'informations soustraites, étant relevé que cette société a vérifié qu'aucune information confidentielle n'était sortie du fait du comportement de l'appelant A______, mais parce que F______ n'avait pas proposé de solution de remplacement rapide suite au départ de ce dernier. Dans ce contexte, l'on ne saurait retenir à la charge de l'un ou l'autre des prévenus une approche de H______ en vue d'influencer ses rapports contractuels avec F______. Quant à la connaissance de la liquidation de J______, le seul fait que A______, tout en déclarant " ne pas être allé plus loin ", a indiqué " penser " que c'était par son intermédiaire que B______ avait obtenu l'information de cette liquidation ne peut suffire à considérer ce fait comme établi, étant relevé que B______ a déclaré l'avoir su bien avant dès lors qu'il connaissait depuis 2004 les administrateurs de J______ et que P______ a déclaré qu'en août 2010, J______ connaissait des difficultés depuis un certain temps et que sa liquidation allait intervenir. Ni le MP dans son acte d'accusation, ni le Tribunal de police ne paraissent, en rapport à l'article de ______, avoir défini, ni arrêté en quoi les informations qui auraient été obtenues par l'appelant A______ étaient de nature à influencer le jeu de la concurrence ou le fonctionnement du marché. Il n'est pas établi au dossier quelles parties des offres ou des rapports anonymisés représentaient le résultat d'un travail susceptible d'être repris. Il n'est pas plus établi quel usage en aurait fait G______ pour que cet acte soit objectivement propre à l'avantager ou à désavantager ses concurrents. L'acte d'accusation reproche aux prévenus de s'être fiés aux informations reçues de I______, C______ et H______ pour se prévaloir dans l'article de ______ d'une comparaison en faveur de G______ par rapport à la concurrence mais il faut rappeler que l'offre de I______ est parvenue à l'appelant A______ ultérieurement à la date de parution de l'article alors que, selon F______, la date de remise de l'article à ______ était arrêtée au ______ 2010 la procédure révélant que les rapports anonymisés ont été, suite à la signature de l'accord de confidentialité, remis à l'appelant A______ à 18h00 ce même jour, ce qui paraît peu compatible avec une utilisation en référence à cet article. Certes, ce dernier mentionne que A______ a été joint par téléphone mais, mis à part la référence à J______, l'appelant ne s'est exprimé que sur des développements à venir propres à G______, la référence aux prestations de la concurrence étant liée au texte du communiqué. Dans son jugement, le Tribunal de police paraît s'être plus particulièrement intéressé aux documents transmis par C______ à A______ sans le faire précisément en considération de la période pénale restreinte visée par l'acte d'accusation. Or celle-ci était limitée, d'une part à la parution de l'article du 11 août 2010 et, d'autre part, à l'approche de H______ dans le but d'influencer les rapports contractuels de cette dernière avec F______, dont on a vu qu'elle ne pouvait tomber sous le coup de la LCD. Quoiqu'il en soit, indépendamment de la période pénale, le dossier, en l'état, ne permet pas non plus de répondre à la question centrale de savoir quels éléments en tant que " résultat d'un travail " précisément ont pu être, non seulement repris, mais encore être susceptibles d'exploitation et sous quelle forme, dans un complexe de faits à même de faire tomber l'un ou l'autre des appelants sous le coup de l'application de l'art. 23 LCD. Il s'en suit qu'ils seront acquittés d'infraction à la LCD, leur appel étant admis et le jugement réformé sur ce point.</w:t>
      </w:r>
    </w:p>
    <w:p>
      <w:r>
        <w:rPr>
          <w:b/>
        </w:rPr>
        <w:t>E. 3</w:t>
      </w:r>
    </w:p>
    <w:p>
      <w:r>
        <w:t>3.1.1. En vertu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D'après l'art. 110 al. 4 phr. 1 CP, sont considérés comme titres tous les écrits destinés et propres à prouver un fait ayant une portée juridique et tous les signes destinés à prouver un tel fait. Savoir si un écrit est propre à prouver se détermine en vertu de la loi ou, à défaut, des usages commerciaux (ATF 132 IV 57 consid. 5.1). Le fait ayant une portée juridique est l'objet de la preuve que le titre doit être en mesure d'apporter. Le titre doit convaincre d'un fait dont dépend la naissance, l'existence, la modification, le transfert, l'extinction ou la constatation d'un droit. Le fait doit être de nature à modifier la solution apportée à un problème juridique (CORBOZ, Les infractions en droit suisse , 2010, ad art. 251 CP, n° 27). L'art. 251 CP, infraction de mise en danger abstraite, protège, en tant que bien juridique, d'une part la confiance particulière placée dans un titre ayant valeur probante dans les rapports juridiques et, d'autre part, la loyauté dans les relations commerciales (ATF 142 IV 119 consid. 2.2 p. 121 s. et les références citées). Il y a faux matériel lorsqu'une personne fabrique un titre dont l'auteur réel ne coïncide pas avec l'auteur apparent. Le faussaire crée un titre qui trompe sur l'identité de celui dont il émane en réalité (ATF 128 IV 265 consid. 1.1.1 p. 268 et les références). Lorsqu'il y a création d'un titre faux, il est sans importance de savoir si le contenu d'un tel titre est mensonger ou non et il n'y a dès lors plus lieu d'examiner si les documents en question offrent des garanties accrues de véracité quant à leur contenu. Les documents faussement créés doivent toutefois aussi constituer des titres tels que définis par l'art. 110 ch. 4 CP. Un faux matériel transmis par courriel constitue un faux dans les titres (arrêt du Tribunal fédéral 6B_441/2016 du 29 mars 2017, consid. 6). Sur le plan subjectif, le faux dans les titres est une infraction intentionnelle. L'intention doit porter sur tous les éléments constitutifs. Le dol éventuel suffit.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est une notion très large. Il peut être matériel ou immatériel. Il suffit que l'auteur veuille améliorer sa situation. Son illicéité peut résulter de la loi, du but poursuivi ou du moyen utilisé; elle peut donc être déduite du seul fait que l'auteur recourt à un faux (arrêts du Tribunal fédéral 6B_441/2016 du 29 mars 2017 consid. 6.2 ; 6B_367/2007 du 10 octobre 2007 consid. 4.4 non publié in ATF 133 IV 303 ). 3.1.2.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La délimitation entre erreur sur les faits et erreur de droit ne dépend pas du fait que l'appréciation erronée concerne une question de droit ou des faits illicites. Il s'agit de qualifier d'erreur sur les faits, et non d'erreur de droit, non seulement l'erreur sur les éléments descriptifs, mais également l'appréciation erronée des éléments normatifs, tels que l'appartenance à autrui d'un objet ou l'étendue d'une servitude (ATF 129 IV 238 consid. 3.2 p. 241 ; arrêts du Tribunal fédéral 6B_220/2015 du 10 février 2016 consid. 3.4.1 et 6B_455/2008 du 26 décembre 2008 consid. 4.4). En d'autres termes, les erreurs sur tous les éléments constitutifs d'une infraction qui impliquent des conceptions juridiques entrent dans le champ de l'art. 13 CP et non de l'art. 21 CP (arrêt du Tribunal fédéral 6B_806/2009 du 18 mars 2010 consid. 4.1). 3.1.3. Quiconque a intentionnellement décidé autrui à commettre un crime ou un délit encourt, si l'infraction a été commise, la peine applicable à l'auteur de cette infraction (art. 24 al. 1 CP). L'instigation suppose un rapport de causalité entre l'acte d'incitation de l'instigateur et la décision de l'instigué de commettre l'acte. L'instigateur doit exercer une influence psychique directe sur la formation de la volonté d'autrui. Il n'est pas nécessaire qu'il ait dû vaincre la résistance de l'instigué. La volonté d'agir peut être déterminée même chez celui qui est disposé à agir ou chez celui qui s'offre à accomplir un acte réprimé par le droit pénal et cela aussi longtemps que l'auteur ne s'est pas encore décidé à passer à l'action concrètement. En revanche, l'instigation n'est plus possible si l'auteur de l'acte était déjà décidé à le commettre (arrêt du Tribunal fédéral 6B_130/2016 du 21 novembre 2016 consid. 1.2.1 et les références citées). 3.2.1. En l'espèce, s'il apparaît que tous les divers courriels signés E______ adressés par A______ tant à C______ qu'à I______ ne revêtent pas la qualité de titres, la question pouvant rester ouverte s'agissant des demandes d'offres et de complément d'information dans la mesure où ils pourraient être considérés comme destinés à prouver l'intérêt de F______ à entrer en relation d'affaire et susciter chez leur destinataire d'effectuer ou de compléter des offres, c'est bien le cas du contrat de confidentialité, engageant F______, signé de façon manuscrite par A______ sous le nom de E______ le 5 août 2010, lequel constituait un faux matériel dont l'auteur apparent ne correspondait pas à son auteur réel. L'appelant A______ est peu crédible lorsqu'il allègue ne pas avoir été conscient de la portée de ses actes. Il a lui-même admis qu'il se voyait mal signer le contrat de confidentialité à la place de E______, au point qu'il avait soumis ce problème à B______. La question s'est donc posée pour lui de la licéité d'une telle pratique même si la réponse de B______ a été qu'il pouvait apposer une signature de fantaisie. A cela s'ajoutent les diverses précautions prises, telle que faire disparaître l'original sitôt signé, ce qui démontre que l'opération était loin d'être anodine. En outre, l'appelant A______ a fait part de son malaise à la remise à B______ des rapports anonymisés à la suite de la signature de l'accord de confidentialité. Ces éléments démontrent qu'il était alerté sur une situation qui n'était pas conforme au droit. Dans cette mesure, il ne peut qu'être considéré, qu'à tout le moins par dol éventuel, A______ a envisagé que son comportement d'usurper l'identité d'un tiers soit répréhensible mais que, néanmoins, il a passé outre pour donner satisfaction à B______ qui le lui demandait, l'avantage illicite consistant en la facilitation de son engagement par G______. 3.2.2. B______ conteste toute implication de sa part en rapport aux écrits intervenus sous le nom de E______. Toutefois, l'hypothèse soutenue par la défense d'une réaction de A______ à la suite de rencontres litigieuses intervenues entre les prévenus début janvier 2010 n'implique pas que le précité n'eût pas dit la vérité lors de son audition du 13 février 2014. Depuis lors, à chacune des auditions intervenues, il a maintenu sa version des faits sans déviance notable quant au déroulement factuel, ne relativisant que l'influence qu'aurait eue sur lui son co-prévenu et l'utilisation des informations recueillies. Le contexte des faits doit être considéré. Il est à cet égard établi que A______ allait débuter une activité professionnelle chez G______ et l'intérêt de B______ de connaître certains aspects de la concurrence est plausible, d'autant plus que les deux étaient en contact, notamment par courriel, depuis quelques mois déjà et qu'il est établi que A______ disposait d'une adresse de messagerie de G______ dès le mois de juin 2010. A la description du rôle de B______ tel que décrit par le précité, s'ajoute l'élément objectif que constitue les courriels du 20 juillet 2010 échangé entre les co-prévenus à quelques minutes d'intervalle, dont la teneur vient renforcer la crédibilité à apporter aux déclarations de A______ en regard de celles de B______ qui dénonce un montage et dit n'avoir pas été informé de quelque démarche que ce soit envers C______. L'appelant B______ a toutefois eu des réponses nuancées et ambigües en rapport à cet échange de courriels. Devant les prud'hommes il a déclaré que le courriel du 20 juillet à 11h25 comportant le mot " OK " avait bien dû être envoyé par lui-même car il contenait un lien sur le site du RC même s'il ne s'expliquait pas le terme " OK ", mais il avait peut-être repris à l'identique un courriel adressé à des contacts. Il était possible qu'il eût reçu le courriel de 11h21 mais il n'en comprenait pas les termes. Devant la police, son courriel était toujours valable mais le tout était un montage avec le courriel de 11h21 de A______. Au MP, il n'avait jamais reçu le courriel de 11h21, voire ne se souvenait ni de celui de 11h21 ni de celui de 11h25. La théorie d'un montage, dont B______ n'a jamais précisé de qui il procéderait exactement, est cependant battue en brèche par la chronologie de la procédure. En effet, cet échange de courriels a été produit en 2010 par F______ en annexe à sa plainte et il ressort de la procédure qu'il a été trouvé dans la machine utilisée par A______ chez celle-ci. Il n'est aucunement vraisemblable à cet égard que A______, qui a commencé par nier tous les faits à la police et au MP, eût anticipé la suite de la procédure en fabriquant de toutes pièces un échange de courriels pour servir sa version des faits à dater de février 2014 suite à la dégradation de ses relations avec B______. Il n'est pas plus vraisemblable que F______ eût d'emblée forgé un faux échange de courriels qui, justement, corroborerait de futures déclarations de A______ sur les circonstances ayant prévalu à ses contacts avec C______. La CPAR retient ainsi que les déclarations de A______ sont crédibles en regard de celles de B______ et que c'est bien ce dernier qui l'a incité à se présenter sous le nom de E______ et à signer un accord de confidentialité en vue d'obtenir, avantage illégitime, des informations sur la concurrence requises par une prétendue potentielle cliente. Le jugement sera ainsi confirmé et l'appel des prévenus rejeté sur ce point, la culpabilité de faux dans les titres, respectivement instigation à faux dans les titres devant être retenue.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4.1.2.1. Les nouvelles dispositions sur le droit des sanctions sont entrées en vigueur le 1 er janvier 2018. Cette réforme marque incontestablement un durcissement. La peine pécuniaire est désormais limitée à 180 jours (art. 34 al. 1 CP). A l'aune de l'art. 2 CP, cette réforme du droit des sanctions est moins favorable à la personne condamnée qui pourra ainsi revendiquer l'application du droit en vigueur au 31 décembre 2017 si les actes qu'il a commis l'ont été sous l'empire de ce droit, comme c'est le cas en l'espèce. 4.1.2.2. L'ancien droit est donc applicable. 4.1.3.1. Conformément à l'art. 34 aCP, la peine pécuniaire ne peut excéder en principe 360 jours-amende et le juge fixe leur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p.68 ; arrêt du Tribunal fédéral 6B_200/2009 du 27 août 2009 consid. 7.1). Le montant du jour-amende ne peut être inférieur à CHF 10.- (ATF 135 IV 180 consid. 1.4.2 p. 185).</w:t>
      </w:r>
    </w:p>
    <w:p>
      <w:r>
        <w:rPr>
          <w:b/>
        </w:rPr>
        <w:t>E. 4.2</w:t>
      </w:r>
    </w:p>
    <w:p>
      <w:r>
        <w:t>En l'espèce, il y a lieu de revoir la peine prononcée en première instance vu l'acquittement partiel prononcé. Même limitée à l'infraction de faux dans les titres, respectivement son instigation, la faute des prévenus reste d'une certaine importance. Ils ont, en effet, porté atteinte à la confiance que tout un chacun peut apporter aux écrits censés avoir une portée juridique. Ils ont agi pour leur pur intérêt personnel. La période pénale est cependant courte. Leur situation personnelle, favorable, n'explique aucunement leurs actes. Leur collaboration a été nuancée. A______ a fini par admettre les faits, non sans les avoir d'abord contestés, alors que B______ a préféré les nier jusqu'au bout. La prise de conscience de sa faute est nulle contrairement à son celle de A______ qui n'est toutefois que partielle dès lors qu'il a cherché à s'exonérer de toute faute. Il n'y a pas eu de regrets exprimés. Cela justifie le prononcé d'une peine pécuniaire réduite, en tenant compte des éléments précités, et distincte au vu de la prise de conscience différenciée des appelants. La quotité du jour-amende fixée par le Tribunal de police n'a pas fait l'objet de critiques de leur part et paraît conforme à la jurisprudence, de sorte qu'elle sera reprise. Le sursis (art. 42 CP) est acquis aux appelants.</w:t>
      </w:r>
    </w:p>
    <w:p>
      <w:r>
        <w:rPr>
          <w:b/>
        </w:rPr>
        <w:t>E. 5</w:t>
      </w:r>
    </w:p>
    <w:p>
      <w:r>
        <w:t>5.1. Selon l'art. 426 al. 1 CPP, le prévenu supporte les frais de la procédure de première instance s'il est condamné.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Aux termes de l'art. 428 al. 1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(al. 3). Si sa condamnation n'est que partielle, les frais ne doivent être mis à la charge du prévenu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pour autant que le point sur lequel le prévenu a été acquitté ou a bénéficié d'une ordonnance de classement, a donné lieu à des frais supplémentaires et que le prévenu n'a pas, de manière illicite et fautive, provoqué l'ouverture de la procédure ou rendu plus difficile la conduite de celle-ci (arrêt du Tribunal fédéral 6B_1085/2013 du 22 octobre 2014 consid. 6.1.1 et les références). A cet égard, seul un comportement fautif et contraire à une règle juridique, qui soit en relation de causalité avec les frais imputés, entre en ligne de compte (ATF 119 Ia 332 consid. 1b ; 116 Ia 162 consid. 2c ; arrêts du Tribunal fédéral 6B_1176/2015 du 23 novembre 2016 consid. 1.1 ; 6B_203/2015 du 16 mars 2016 consid. 1.1 ; 6B_706/2014 du 28 août 2015 consid. 1.1 ; 6B_832/2014 du 24 avril 2015 consid. 1.2). Le juge n'a pas l'obligation de faire supporter tout ou partie des frais au prévenu libéré des fins de la poursuite, même si les conditions d'une imputation sont réalisées. En effet, l'art. 426 al. 2 CPP définit une " Kannvorschrift " (M. DUPUIS / L. MOREILLON / C. PIGUET / S. BERGER / M. MAZOU / V. RODIGARI, op. cit ., n. 10 ad art. 426).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(arrêts du Tribunal fédéral 6B_136/2016 du 23 janvier 2017 consid. 4.1.1 et les références ; 6B_1085/2013 du 22 octobre 2014 consid. 6.1.1 et les références).</w:t>
      </w:r>
    </w:p>
    <w:p>
      <w:r>
        <w:rPr>
          <w:b/>
        </w:rPr>
        <w:t>E. 5.2</w:t>
      </w:r>
    </w:p>
    <w:p>
      <w:r>
        <w:t>Pour l'essentiel, l'instruction de la cause a porté sur les agissements des appelants en relation avec le comportement de A______ alors qu'il était encore employé par F______ tout en s'activant pour le bénéfice de G______. Les différentes qualifications juridiques retenues n'ont pas nécessité d'actes d'instruction supplémentaires mais sont tirées d'un seul complexe de faits, soit essentiellement les contacts entretenus par le prévenu avec les parties plaignantes ou avec B______, étant relevé que ce dernier n'a été entendu qu'à une reprise devant le MP et une fois à la police. Le prononcé concerne toujours le même complexe de faits. L'acquittement partiel prononcé ne justifie ainsi qu'une réduction modérée des frais de procédure, qui sera fixée à 1/3. Les appelants seront par conséquent condamnés, à raison de la moitié chacun, aux 2/3 des frais de la procédure de première instance, le solde étant laissé à la charge de l'Etat.</w:t>
      </w:r>
    </w:p>
    <w:p>
      <w:r>
        <w:rPr>
          <w:b/>
        </w:rPr>
        <w:t>E. 5.3</w:t>
      </w:r>
    </w:p>
    <w:p>
      <w:r>
        <w:t>Les appelants succombent pour partie dans la procédure d'appel, le verdict de culpabilité prononcé en première instance n'étant que partiellement annulé. Ils seront ainsi condamnés, à raison de la moitié chacun, à la moitié des frais de la procédure d'appel, comprenant un émolument de CHF 3'000.-. D______ qui succombe sur sa conclusion de culpabilité pour concurrence déloyale, sera condamnée à 1/6 ème de ces frais, le solde (2/6 èmes ) étant laissé à la charge de l'Etat.</w:t>
      </w:r>
    </w:p>
    <w:p>
      <w:r>
        <w:rPr>
          <w:b/>
        </w:rPr>
        <w:t>E. 6</w:t>
      </w:r>
    </w:p>
    <w:p>
      <w:r>
        <w:t>6.1.1. Selon l'art. 429 al. 1 let. a CPP, le prévenu bénéficiant d'un acquittement ou d'un classement a droit à une indemnité pour les dépenses occasionnées par l'exercice raisonnable de ses droits de procédure (ATF 138 IV 205 consid. 1). Aux termes de cette disposition, le prévenu a un droit à une indemnisation et à la réparation de son tort moral s'il est acquitté totalement ou en partie ou s'il bénéficie d'une ordonnance de classement. Le droit à l'indemnisation est ouvert dès que des charges pesant sur le prévenu ont été abandonnées, en tout ou partie.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En cas d'acte à " double utilité ", il y a lieu de procéder à une répartition équitable (arrêt du Tribunal fédéral 6B_80/2016 du 7 mars 2017 consid. 2.1 et les références ; 6B_187/2015 du 28 avril 2015 consid. 6.1.2 ; C. GENTON / C. PERRIER, Les prétentions du prévenu en indemnités et en réparation du tort moral , in Jusletter du 13 février 2012, p. 3, n. 11 ; cf. aussi A. KUHN / Y. JEANNERET [éds], Commentaire romand : Code de procédure pénale suisse , Bâle 2011, n. 13 ss ad art. 429 CPP). 6.1.2.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 La question de l'indemnisation doit être tranchée après la question des frais. Dans cette mesure, la décision sur les frais préjuge de la question de l'indemnisation (arrêts du Tribunal fédéral 6B_620/2016 du 17 mai 2017 consid. 2.2.1 et les références ; 6B_792/2016 du 18 avril 2017 consid. 3.3). Si le prévenu est libéré d'un chef d'accusation et condamné pour un autre, il sera condamné aux frais relatifs à sa condamnation et aura respectivement droit à une indemnité correspondant à son acquittement partiel (arrêts du Tribunal fédéral 6B_67/2016 du 31 octobre 2016 consid. 1.2 ; 6B_187/2015 du 28 avril 2015 consid. 6.1.2). Les autorités pénales peuvent compenser les créances portant sur les frais de procédure avec les indemnités accordées à la partie débitrice dans la même procédure pénale (art. 442 al. 4 CPP). 6.1.3. L'indemnité visée par l'art. 429 CPP concerne les dépenses du prévenu pour un avocat de choix et n'est pas limitée aux cas de défense obligatoire visés par l'art. 130 CPP (ATF 138 IV 205 consid. 1). L'assistance d'un avocat de choix, sous l'angle de l'art. 429 al. 1 let. a CPP doit avoir été nécessaire, compte tenu de la complexité de l'affaire en fait ou en droit, et que le volume de travail de l'avocat était ainsi justifié (Message relatif à l'unification du droit de la procédure pénale [CPP] du 21 décembre 2005, FF 2006 1309). L'indemnité couvre en particulier les honoraires d'avocat, à condition que le recours à celui-ci procède d'un exercice raisonnable des droits de procédure (arrêts du Tribunal fédéral 6B_545/2015 du 10 février 2016 consid. 6.1 et 6B_387/2013 du 8 juillet 2013 consid. 2.1, non publié aux ATF 139 IV 241 ). Les démarches superflues, abusives ou excessives ne sont pas indemnisées (ATF 115 IV 156 consid. 2d).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 Basler Kommentar StPO/JStPO, 2e éd., Bâle 2014, n. 19 ad art. 429). 6.1.4.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6.1.5. L'indemnité n'étant due qu’à concurrence des dépenses occasionnées par l’exercice raisonnable des droits de procédure du prévenu, cela autorise la réduction de la note d’honoraires du défenseur (Message, FF 2006 1303, p. 1313 ; J. PITTELOUD, Code de procédure pénale suisse - Commentaire à l’usage des praticiens , Zurich/St-Gall 2012, n. 1349 p. 889). Le juge ne doit ainsi pas avaliser purement et simplement les notes d’honoraires qui lui sont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Ainsi, seules les heures nécessaires passées effectivement et à bon escient à la préparation de la défense doivent être retenues, le juge devant s’inspirer des règles en vigueur en matière de défraiement de l’avocat d’office, de manière à éviter que les activités qui ne sont pas directement et raisonnablement en rapport avec les besoins effectifs de la conduite du procès soient indemnisées (J. PITTELOUD, op. cit. , n. 1350 p. 889s; N. SCHMID, Handbuch des schweizerischen Strafprozessrechts , Zurich 2009, n. 751). De la sorte, les démarches superflues, abusives ou excessives ne doivent pas être indemnisées (ATF 115 IV 156 consid. 2d; M. NIGGLI / M. HEER / H. WIPRÄCHTIGER, (éds), Strafprozessordnung / Jugendstrafprozessordnung, Basler Kommentar StPO/JStPO , 2e éd., Bâle 2014, n. 15 ad art. 429 CPP). Le juge dispose d’une marge d’appréciation, sans qu’il ne doive se montrer trop exigeant dans l’appréciation rétrospective qu’il porte sur les actes nécessaires à la défense du prévenu (M. NIGGLI / M. HEER / H. WIPRÄCHTIGER, op. cit. , n. 19 ad art. 429 CPP; ACPR/239/2017 ). 6.1.6.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Si l'autorité estime n'être pas suffisamment renseignée, elle doit, en application de l'art. 429 al. 2 CPP, enjoindre le recourant à préciser ses prétentions, en particulier à fournir des notes d'honoraires plus détaillées. Il en va de même s'agissant de la séparation des heures effectuées par un associé de celles effectuées par un stagiaire (arrêt du Tribunal fédéral 6B_1026/2013 précité consid. 4.1 et 4.2).</w:t>
      </w:r>
    </w:p>
    <w:p>
      <w:r>
        <w:rPr>
          <w:b/>
        </w:rPr>
        <w:t>E. 6.2</w:t>
      </w:r>
    </w:p>
    <w:p>
      <w:r>
        <w:t>Selon la jurisprudence citée ci-dessus (ch. 6.1.2), la décision prise sur l'imputation des frais de la procédure préjuge de celle relative à l'octroi ou au refus de l'indemnité prévue par l'art. 429 CPP, en l'occurrence pour les frais de défense. Ainsi, les appelants se verront indemniser par l'Etat, pour les motifs indiqués sous ch. 5.2 ci-dessus, sur la base d'1/3 de leurs frais de défense pour la procédure de première instance. A la lecture des notes d'honoraires produites, il appert cependant que l'activité déployée par le conseil des appelants en première instance ne correspond pas à un exercice raisonnable de leurs droits de procédure et qu'elle comporte parfois des postes qui n'apparaissent pas lié à la présente procédure. 6.2.1.1. S'agissant des notes d'honoraires des conseils de B______, il sera relevé que, selon le document récapitulatif de l'activité globale entre le 7 mai 2013 et le 29 mai 2017, celle décrite du 7 mai au 10 juillet 2013 apparaît correspondre à l'évolution de la procédure pénale, de même que celle relative à la période du 12 mai au 14 juillet 2014. En revanche, l'activité s'étendant du 15 juillet au 18 juillet 2014 paraît liée à une autre procédure pénale dans la mesure où une plainte pénale est rédigée pour son compte. L'activité décrite du 14 août au 2 septembre 2014 correspond également au suivi de la procédure, à l'inverse de l'activité pour la période du 30 octobre 2014 au 16 mars 2016 qui sera écartée. Par la suite, l'activité du conseil, dès le 10 mai et jusqu'au 31 mai 2016 et enfin celle du 12 septembre 2016 au 29 mai 2017 peut être considérée en lien avec l'évolution de la procédure. Le temps consacré à certaines de ces activités parait excessif en regard des faits de la cause et de la difficulté du dossier qui comporte un seul classeur, une seule audience étant intervenue devant le MP. La procédure ne justifie pas une dizaine d'heures d'entretien ou de conférences téléphoniques avec le client, ni le même temps d'examen du dossier. Ainsi, il sera retenu comme justifiant une défense raisonnable six heures de conférences ou entretiens téléphoniques avec le client et sept heures d'examen du dossier auxquelles s'ajouteront huit heures pour divers courriers et entretiens avec le MP, deux heures et demie d'audience et cinq heures pour activités liée à la procédure devant le Tribunal pénal, soit au total 28.5 heures desquelles seront cependant encore soustraites certaines heures en fonction de ce qui suit : Le décompte horaire remis par le conseil s'étant présenté devant le Tribunal de police fait état de 31 heures 55 minutes d'activité composée notamment de quatre heures d'étude de la procédure pénale complète et d'une conférence d'une demi-heure avec le conseil ayant remis les notes d'honoraires précitées. Cette durée de quatre heures et demie sera déduite du temps total retenu supra dans la mesure où une bonne connaissance du dossier était acquise avant l'intervention du nouveau conseil. Ce dernier récapitule ensuite neuf heures de recherches juridiques, durée qui parait excessive en regard de la complexité relative du dossier et de 13 heures 45 minutes de préparation de l'audience du Tribunal de police, durée également trop considérable. La CPAR retiendra ainsi cinq heures pour les recherches juridiques et une heure pour vacation et communications au Tribunal de police, au tarif horaire de CHF 250.-, ainsi que quatre heures de prise de connaissance du dossier, une demi-heure de conférence entre conseils et trois heures 15 minutes de conférence avec le client, six heures de préparation de l'audience du Tribunal de police plus trois heures cinquante minutes d'audiences du Tribunal de police au tarif horaire de CHF 450.- admis par la juridiction et non CHF 499.90. Les frais d'étude en CHF 800.-, non justifiés, de même que les frais administratifs, ne seront pas pris en compte, contrairement aux frais pour débours et photocopies en CHF 442.-. Au final, la base de l'indemnisation pour la première instance portera sur CHF 20'935.-, TVA comprise. A raison d'un tiers de cette somme, l'indemnisation représentera CHF 6'978.35. 6.2.1.2. S'agissant des notes d'honoraires produites par le conseil de A______, le détail des opérations portant sur la période du 13 mai au 2 juin 2014 apparaît conforme sous la réserve de la rubrique faisant état de la préparation et la présence à deux audiences d'instruction le 15 mai pour 7 heures 50 minutes d'activité, celle-ci étant réduite de moitié dès lors qu'une seule audience a eu lieu. Les activités décrites ultérieurement entre le 17 juin et le 14 juillet 2014 n'apparaissent pas liées à la procédure, laquelle a connu un temps mort jusqu'au prononcé des ordonnances pénales. Il en va donc de même pour la période du 21 janvier 2015 au 7 décembre 2015, dans la mesure où la première activité décrite est l'examen d'une plainte et un courriel au client, ce qui ne concerne pas la présente procédure. Pour la période du 8 décembre 2015 au 4 juillet 2016, il ressort du détail des opérations au 8 décembre 2015 l'envoi d'un courrier au MP concernant une demande d'indemnisation et le 16 mars 2016 l'examen de trois ordonnances de classement. Ces activités ne concernent pas la présente procédure. L'activité à partir du 10 mai 2016 (examen d'une ordonnance pénale) sera prise en compte, de même que celle allant au 28 juin 2016 mais non celle relative à un courrier aux prud'hommes le 30 mai et l'examen d'un jugement à la date du 4 juillet 2016. Le détail des opérations pour la période du 18 août 2016 au 1 er mars 2017 ne laisse pas apparaître une activité liée à l'exercice raisonnable des droits de procédure de A______. Alors que le dossier pénal a fait l'objet d'un courrier d'opposition en mai 2016, rien ne justifie des opérations particulières, celles décrites n'étant que des contacts téléphoniques avec le conseil du co-prévenu ou des courriels ou entretiens avec le client à l'exception de la rubrique entretien téléphonique avec le client et la police de l'aéroport de ______ [Suisse], non pertinente pour la présente procédure. Quant au relevé des activités pour la période du 31 mars 2017 au 26 juin 2017, il apparaît globalement conforme à l'évolution de cette dernière. Les débours et frais fixés forfaitairement, à raison de 4% puis 3% des honoraires à dater de la note du 7 décembre 2015, non justifiés, ne seront pas pris en compte. Au total ce sont ainsi 20 heures au titre d'examen du dossier, préparation audience et audience (y compris devant le Tribunal de police), quatre heures pour courrier/courriels et quatre heures de conférence et entretiens téléphoniques qui seront admises au tarif horaire de CHF 400.- plus la TVA, soit CHF 12'096.- dont un tiers représente CHF 4'032.-. Le jugement entrepris sera réformé sur ces points.</w:t>
      </w:r>
    </w:p>
    <w:p>
      <w:r>
        <w:rPr>
          <w:b/>
        </w:rPr>
        <w:t>E. 6.3</w:t>
      </w:r>
    </w:p>
    <w:p>
      <w:r>
        <w:t>Pour les mêmes motifs que ceux exposés sous ch. 5.3. ci-dessus, les appelants seront indemnisés à hauteur de la moitié de leurs frais de défense pour la procédure d'appel.</w:t>
      </w:r>
    </w:p>
    <w:p>
      <w:r>
        <w:rPr>
          <w:b/>
        </w:rPr>
        <w:t>E. 6.3.1</w:t>
      </w:r>
    </w:p>
    <w:p>
      <w:r>
        <w:t>A la lecture de la note d'honoraires produite par le conseil de B______, il appert que l'activité déployée est en adéquation avec la nature et la difficulté de la cause, sous réserve des trois heures 45 minutes de l'audience devant le Tribunal de police, déjà décomptée pour la procédure de première instance. La durée des débats d'appel y sera ajoutée. Les frais d'étude, non justifiés, ne seront pas pris en compte. Ce sont donc 30 minutes au tarif horaire de CHF 250.- et sept heures 40 minutes au tarif horaire de CHF 450.- qui doivent être comptabilisées au titre des honoraires du conseil de B______ pour la procédure d'appel, correspondant à une base de CHF 3'861.-, audience d'appel et TVA comprises. A raison de la moitié, l'indemnité allouée sera ainsi fixée à CHF 1'840.50, TVA comprise, pour la procédure d'appel.</w:t>
      </w:r>
    </w:p>
    <w:p>
      <w:r>
        <w:rPr>
          <w:b/>
        </w:rPr>
        <w:t>E. 6.3.2</w:t>
      </w:r>
    </w:p>
    <w:p>
      <w:r>
        <w:t>Pour l'activité du conseil de A______ pour la procédure d'appel, le détail des opérations permet de retenir comme conformes celles du 29 juin 2017 (2 ème partie), celles intervenues entre le 2 octobre 2017 et le 16 novembre 2017, de même que celle retenue à la date du 23 janvier 2018, selon la description faite, les frais forfaitaires n'étant pas pris en compte. Ce sont donc globalement 11 heures au tarif horaire de CHF 400.- qui seront retenues, soit une base de CHF 4'752.-, TVA comprise. A raison de la moitié, l'indemnité allouée sera ainsi fixée à CHF 2'376.-, TVA comprise, pour la procédure d'appel.</w:t>
      </w:r>
    </w:p>
    <w:p>
      <w:r>
        <w:rPr>
          <w:b/>
        </w:rPr>
        <w:t>E. 7</w:t>
      </w:r>
    </w:p>
    <w:p>
      <w:r>
        <w:t>7.1.1.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 Basler Kommentar StPO/JStPO, 2e éd., Bâle 2014, n. 10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7.1.2. En cas d'adjudication partielle des conclusions de la partie plaignante, les dépens des parties peuvent être compensés ou mis proportionnellement à la charge de chacune d'entre elles, en principe en identifiant séparément chaque acte de procédure et son incidence sur les frais exposés des parties (A. KUHN / Y. JEANNERET [éds], op. cit. , Bâle 2011, n. 2 et 3 ad art. 433, et les références citées).</w:t>
      </w:r>
    </w:p>
    <w:p>
      <w:r>
        <w:rPr>
          <w:b/>
        </w:rPr>
        <w:t>E. 7.2</w:t>
      </w:r>
    </w:p>
    <w:p>
      <w:r>
        <w:t>Dans le cadre de la procédure d'appel, la partie plaignante a partiellement obtenu gain de cause, s'opposant avec succès aux conclusions en acquittement de faux dans les titres, respectivement instigation à faux dans les titres prises par les appelants, lesquels seront par conséquent condamnés à l'indemniser à hauteur de la moitié de ses frais de défense. Sur la base des notes d'honoraires produites, l'indemnité mise à charge des appelants sera fixée à CHF 1'440.50, TVA comprise.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