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P/15518/2021 vom 16. Februar 2023</w:t>
      </w:r>
    </w:p>
    <w:p>
      <w:r>
        <w:t>GE Cour de justice, 2023-02-16, FR</w:t>
      </w:r>
    </w:p>
    <w:p>
      <w:r>
        <w:rPr>
          <w:b/>
        </w:rPr>
        <w:t xml:space="preserve">Quelle: </w:t>
      </w:r>
      <w:r>
        <w:t>https://mcp.opencaselaw.ch/entscheid/ge_gerichte_P_15518_2021</w:t>
      </w:r>
    </w:p>
    <w:p>
      <w:r>
        <w:t>FR: GE_GERICHTE P/15518/2021 du 16 février 2023</w:t>
      </w:r>
    </w:p>
    <w:p>
      <w:r>
        <w:t>IT: GE_GERICHTE P/15518/2021 del 16 febbraio 2023</w:t>
      </w:r>
    </w:p>
    <w:p>
      <w:pPr>
        <w:pStyle w:val="Heading2"/>
      </w:pPr>
      <w:r>
        <w:t>Regeste</w:t>
      </w:r>
    </w:p>
    <w:p>
      <w:r>
        <w:t>BRIGANDAGE;CONTRAINTE(DROIT PÉNAL) | CP.139; CP.140; CP.66b; CPP.391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(CEDH) et, sur le plan interne, par les art. 32 al. 1 de la Constitution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 volume I, 3 e édition, Berne 2010, n. 9 ad art. 140 CP). Le brigandage est une forme aggravée du vol qui se caractérise par les moyens que l'auteur a employés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Dès lors que la victime se trouve à même de réagir et d'opposer une résistance effective à l'auteur, que ce dernier doit briser pour s'emparer de la chose mobilière appartenant à la victime, il y a brigandage et non vol (ATF 133 IV 207 consid. 4.2, 4.4, 4.5 et 5). La violence est toute action physique immédiate sur le corps de la personne, qui doit défendre la possession de la chose. Il importe peu que la victime ait été mise dans l'incapacité de se défendre ; il suffit que l'auteur ait recouru aux moyens indiqués et que le vol ait été consommé (ATF 133 IV 207 consid. 4.3.1; arrêt du Tribunal fédéral 6B_193/2021 du 30 septembre 2021 consid. 3.1.1). Il convient ensuite d'établir le rapport de cause à effet entre la violence, la mise hors d'état de résister et le vol (ATF 107 IV 107 consid. 3c). Celui qui passe outre avec violence à la résistance effective de la victime, afin de lui arracher son sac à main, commet un brigandage non pas un vol à l'arraché (ATF 133 IV 207 consid. 4 et 5 p. 211 ss). Dans ce dernier arrêt, le Tribunal fédéral est ainsi revenu en partie sur l’ATF 81 IV 224 p. 226 sv (cité par la défense de l’appelant), dans la mesure où, contrairement à l’ancien art. 139 CP, l’art. 140 CP dans sa teneur actuelle n’exige pas que l’auteur mette sa victime complètement hors d'état de résister (ATF 133 IV 207 consid. 4.3.1 p. 211).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 cit., n. 1 à 11 ad art. 140 CP).</w:t>
      </w:r>
    </w:p>
    <w:p>
      <w:r>
        <w:rPr>
          <w:b/>
        </w:rPr>
        <w:t>E. 2.3</w:t>
      </w:r>
    </w:p>
    <w:p>
      <w:r>
        <w:t>En l’espèce, l’appelant conteste toute violence, au motif qu’il « n’a pas tapé » les lésés.</w:t>
      </w:r>
    </w:p>
    <w:p>
      <w:r>
        <w:rPr>
          <w:b/>
        </w:rPr>
        <w:t>E. 2.3.1</w:t>
      </w:r>
    </w:p>
    <w:p>
      <w:r>
        <w:t>Lors des faits du 8 septembre 2020, l’appelant admet avoir agi alors que le plaignant se trouvait assis dans son véhicule ; celui-ci n’a pas été blessé. Le fermoir de la montre s’est cassé et est tombé dans la voiture du plaignant. Sur les images de vidéosurveillance, immédiatement après les faits, l’appelant ne semble pas détenir d’autre objet que la montre arrachée du poignet du plaignant ; comme les premiers juges, à défaut de confrontation et au vu de ces images, la CPAR considère, au bénéfice du doute, que le vol d’autres biens du plaignant n’est pas suffisamment démontré. Cela étant, compte tenu de la position respective des parties et notamment du bris du fermoir, l’appelant a dû immobiliser la victime et l’empêcher de bouger son bras, pour ensuite manipuler le mécanisme de la montre afin de s’en emparer. Ce geste n’a pu que restreindre, même temporairement, la liberté d’action du plaignant qui n’a pas été seulement surpris mais bien contraint et forcé par son agresseur. La qualification de brigandage doit dès lors être confirmée.</w:t>
      </w:r>
    </w:p>
    <w:p>
      <w:r>
        <w:rPr>
          <w:b/>
        </w:rPr>
        <w:t>E. 2.3.2</w:t>
      </w:r>
    </w:p>
    <w:p>
      <w:r>
        <w:t>Les faits du 29 juillet 2021 ont été filmés. On y voit le comparse de l’appelant saisir et immobiliser, brièvement, avec ses deux mains, l’avant-bras droit du plaignant. A nouveau, ce geste a clairement restreint, certes brièvement, la liberté d’action du plaignant qui, même s’il a été surpris, ce qui a contribué au succès de ses agresseurs, a aussi bel et bien été contraint. Les pièces démontrant une résistance du bracelet à une force de l’ordre de 30 kg attestent de la violence du geste et de la force exercée pour l’arracher, qui constitue une atteinte à la libre détermination de la victime. L’appelant a accompagné son comparse depuis l’extérieur du parking et ils se sont réparti les rôles. Il admet qu’ils avaient tous deux repéré la montre au poignet du lésé. Il ne fait dès lors pas de doute que l’appelant s’est pleinement associé aux gestes de son comparse et qu’il a acquiescé à la violence exercée. La qualification de brigandage doit également être confirmée.</w:t>
      </w:r>
    </w:p>
    <w:p>
      <w:r>
        <w:rPr>
          <w:b/>
        </w:rPr>
        <w:t>E. 2.3.3</w:t>
      </w:r>
    </w:p>
    <w:p>
      <w:r>
        <w:t>Les faits survenus dans la nuit du 25 au 26 juillet 2021 n’ont pas été filmés, et l’appelant n’a jamais été confronté aux plaignants. Cela étant, les agissements du prévenu et de son comparse, et notamment la surveillance qu’ils ont effectuée dès 22h30 sur le lésé et son compagnon, attestent de leur zèle et de la répartition des rôles. L’appelant admet que tandis que son comparse arrachait la montre du lésé il a saisi le passager de la voiture pour l’empêcher d’intervenir. Ce faisant, l’appelant a clairement exercé une contrainte sur une personne en situation de défendre la possession de la chose, soit un auxiliaire de la possession qui s’apprêtait à faire obstacle au vol. Compte tenu du déroulement – l’appelant et son comparse se trouvant chacun à hauteur de l’une des fenêtres ouvertes du véhicule, étant précisé qu’ils savaient pertinemment qu’il y avait deux personnes à bord de celui-ci, pour les avoir longuement observés – il s’agit clairement d’une action concertée des deux auteurs, l’un exerçant la contrainte sur le détenteur de l’objet convoité, l’autre bloquant le second protagoniste pour favoriser l’action du premier. Le vol n’a pas abouti uniquement en raison de la réaction rapide et efficace du lésé, qui a réussi à récupérer sa montre qui lui avait été arrachée. Cela étant, la violence exercée conjointement par les deux auteurs a restreint de façon conséquente la liberté des deux passagers de la voiture, exerçant une violence qui a permis le vol. Il s’agit d’une tentative achevée, puisque l’auteur a réussi à s’emparer de la montre convoitée, qui a été immédiatement récupérée par le lésé. La qualification de tentative de brigandage doit dès lors être confirmée et l’appel rejeté en tant qu’il porte sur la qualification juridique des faits.</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Bien que la récidive ne constitue plus un motif d'aggravation obligatoire de la peine (art. 67 aCP), les antécédents continuent de jouer un rôle très important dans la fixation de celle-ci (M. NIGGLI / H. WIPRÄCHTIGER, Basler Kommentar Strafrecht I : 1-110 StGB, Jugendstrafgesetz ,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Le juge a l'obligation d'aggraver la peine en cas de concours d'infraction (ATF 103 IV 225 ; arrêt du Tribunal fédéral 6B_1216/2017 du 11 juin 2018 consid. 1.1.1).</w:t>
      </w:r>
    </w:p>
    <w:p>
      <w:r>
        <w:rPr>
          <w:b/>
        </w:rPr>
        <w:t>E. 3.4</w:t>
      </w:r>
    </w:p>
    <w:p>
      <w:r>
        <w:t>A teneur de l’art. 46 al. 1 CP, si, durant le délai d’épreuve du sursis,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p. 142 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Si la peine révoquée et la nouvelle peine sont du même genre, le juge fixe une peine d’ensemble en appliquant par analogie l’art. 49 CP.</w:t>
      </w:r>
    </w:p>
    <w:p>
      <w:r>
        <w:rPr>
          <w:b/>
        </w:rPr>
        <w:t>E. 3.5</w:t>
      </w:r>
    </w:p>
    <w:p>
      <w:r>
        <w:t>En l'occurrence, la faute de l'appelant est lourde. Il a d’abord commis un vol d’opportunité, dans un véhicule, s’emparant de biens de valeur qui venaient d’y être déposés. Surtout, il a participé comme co-auteur à trois brigandages – l’un seulement tenté – portant sur des montres de grand prix, après avoir soigneusement repéré ses cibles, choisi ses victimes et attendu le moment opportun, parfois en procédant à une longue surveillance pour pouvoir passer à l’action. A deux reprises, il a agi en coordonnant ses agissements avec ceux de son coauteur ; quand bien même la circonstance aggravante de la bande n’a pas été retenue, le fait d’agir à plusieurs augmente encore la menace pour les victimes, et le choc de l’agression s’en trouve amplifié. De même, il n’a pas hésité, dans l’un des cas, à agir en présence de la petite-fille du plaignant, ce qui a contribué au choc de sa victime. L’appelant a également contrevenu à l’expulsion prononcée à son encontre en 2017, en revenant en Suisse dans le seul but d’y commettre des infractions graves, démontrant par là le plus complet mépris des autorités et de l’ordre public suisse. Une fois placé en détention, il n’a pas hésité à s’en prendre physiquement à un gardien de prison dans l’exercice de ses fonctions, pour des motifs futiles. Il a agi par appât du gain facile, sans aucun respect pour le bien et la sécurité d’autrui ou les décisions de justice. Sa manière d’agir dénote un certain sang-froid, notamment du fait de la préparation, des repérages et de la fuite rapide après les faits, ainsi que par la revente à bon prix, à l’étranger, du butin de ses délits. La situation personnelle de l'appelant ne justifie en rien son comportement. Il n’avait aucune raison, sinon l’appât du gain illicite facile, de venir à Genève et de s’en prendre aux victimes. Sa compagne et ses enfants se trouvaient alors en Espagne et il aurait pu rester à leurs côtés en prenant les dispositions nécessaires pour subvenir légalement aux besoins de sa famille dans ce pays. Les excuses présentées par l’appelant semblent plus dictées par les circonstances et les difficultés liées à une détention relativement longue que par une réelle prise de conscience de la gravité de son comportement et de sa faute. Ses projets ne sont guère concrets, et, détenu depuis bientôt un an et demi, il n’a toujours rien entrepris pour régulariser sa situation en obtenant des documents attestant de son identité, laissant même entendre qu’il ne souhaite pas collaborer avec les autorités pour ce faire. Il n’a produit aucun document ou autre pièce attestant de la situation de sa famille en Espagne, seule la demande de visite de sa compagne et les messages de celle-ci permettant de tenir pour vraie leur existence. Il semble en effet entretenir un contact régulier avec sa famille par le biais des moyens de communication mis à sa disposition au sein de B______.</w:t>
      </w:r>
    </w:p>
    <w:p>
      <w:r>
        <w:rPr>
          <w:b/>
        </w:rPr>
        <w:t>E. 3.6</w:t>
      </w:r>
    </w:p>
    <w:p>
      <w:r>
        <w:t>L’appelant ne remplit pas les conditions du sursis, ayant été condamné à une peine privative de liberté de huit mois dans les cinq ans précédant les faits de la présente cause ; il ne présente en effet, comme relevé ci-dessus, pas de circonstances particulièrement favorables (art. 42 al. 2 CP). Par ailleurs, le pronostic quant au comportement futur de l’appelant est sombre. En effet, il a manifestement agi, dans la présente cause, pour subvenir facilement à ses besoins en dépouillant ses victimes et en se rendant à dessein et de façon organisée en région genevoise à ces fins. Manifestement, ni la condamnation à une peine avec un long délai d’épreuve en 2017, ni l’expulsion prononcée à cette occasion, ni les condamnations françaises en 2014, 2017 et 2018, ne l’ont dissuadé de récidiver. Dans ces circonstances, il se justifie de révoquer le sursis accordé par le TP le 8 novembre 2017, ce que l’appelant ne conteste d’ailleurs pas, et de fixer une peine d’ensemble.</w:t>
      </w:r>
    </w:p>
    <w:p>
      <w:r>
        <w:rPr>
          <w:b/>
        </w:rPr>
        <w:t>E. 3.7</w:t>
      </w:r>
    </w:p>
    <w:p>
      <w:r>
        <w:t>Le brigandage du 29 août 2021 constitue 1’infraction la plus grave et entraîne une peine de base de l’ordre de 15 mois, laquelle doit être portée à 24 mois pour les faits de la nuit du 8 septembre 2020 (peine de base de 12 mois), puis à 32 mois pour ceux commis dans la nuit du 25 au 26 juillet 2021 (peine de base de 11 mois, la réduction pour la tentative étant peu importante, l’infraction ayant été menée à son terme). Cette peine doit encore être aggravée pour tenir compte de la révocation du sursis (huit mois), ce qui la porte à 36 mois, sans compter la peine devant être infligée en raison du vol et de la rupture de ban. Toutefois la Cour de céans est liée par l’interdiction de la reformatio in peius (art. 391 al. 2 CPP) et ne peut donc pas aggraver la peine de 36 mois ; il n’y a dès lors pas lieu d’individualiser les peines pour ces dernières infractions, la peine d’ensemble théorique devant de toute manière être arrêtée à la quotité fixée par les premiers juges. L’appel doit ainsi être rejeté en tant qu’il porte sur la peine prononcée.</w:t>
      </w:r>
    </w:p>
    <w:p>
      <w:r>
        <w:rPr>
          <w:b/>
        </w:rPr>
        <w:t>E. 4</w:t>
      </w:r>
    </w:p>
    <w:p>
      <w:r>
        <w:t>4.1. Conformément à l'art. 66 a al. 1 let. c CP, le juge expulse de Suisse, pour une durée de cinq à quinze ans, un étranger qui est condamné pour brigandage. En cas de récidive, soit lorsqu’une personne contre qui une expulsion a été ordonnée commet une nouvelle infraction remplissant les conditions d’une expulsion au sens de l’art. 66a CP, une nouvelle expulsion est prononcée pour une durée de vingt ans. Elle peut être prononcée à vie si le nouvel acte a été commis alors que la première expulsion avait encore effet (art. 66b CP).</w:t>
      </w:r>
    </w:p>
    <w:p>
      <w:r>
        <w:rPr>
          <w:b/>
        </w:rPr>
        <w:t>E. 4.2</w:t>
      </w:r>
    </w:p>
    <w:p>
      <w:r>
        <w:t>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du Tribunal fédéral 6B_93/2021 du 6 octobre 2021 consid. 5.1).</w:t>
      </w:r>
    </w:p>
    <w:p>
      <w:r>
        <w:rPr>
          <w:b/>
        </w:rPr>
        <w:t>E. 4.3</w:t>
      </w:r>
    </w:p>
    <w:p>
      <w:r>
        <w:t>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(RS 0.362.380.085).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 menace pour l'ordre public ou la sécurité nationale »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(cf. art. 21 du règlement SIS II ; art. 21, par. 1, du règlement [UE] 2018/1861, et arrêt du Tribunal fédéral 6B_932/2021 du 7 septembre 2022 consid. 1.8.1). Vu le contenu similaire des deux actes, la jurisprudence développée en lien avec le premier s'applique pleinement.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(arrêt du Tribunal fédéral 6B_1178/2019 du 10 mars 2021 destiné à la publication consid. 4.6 et 4.8). 4.4.1. En l’espèce, compte tenu de la confirmation du verdict de culpabilité de l'appelant pour brigandages, son expulsion de Suisse doit être ordonnée. A raison, l’appelant ne le conteste pas, étant relevé qu’aucun élément de la procédure ne permet ne serait-ce que d’envisager l’application de la clause de rigueur au sens de l’art. 66a al. 2 CP. Compte tenu de la récidive, l’expulsion aurait dû être prononcée pour une durée de vingt ans. En limitant la durée de l’expulsion à dix ans, soit la moitié de la durée légale, les premiers juges ont ainsi fait preuve d’une grande mansuétude ; à nouveau, le principe de l’interdiction de la reformatio in peius fait obstacle à une modification de cette durée qui sera confirmée. 4.4.2. La peine prononcée commande en principe l’inscription de l’expulsion au SIS. Cela étant, il apparaît que l’appelant a développé des liens avec ses filles qui vivent à V______. Leur mère compte sur son soutien pour l’éducation de leurs jumelles. Si l’inscription de l’expulsion au SIS n’est pas en tant que telle un obstacle à l’obtention d’un titre de séjour dans ce pays, elle la compliquera singulièrement. Dans ces circonstances, et essentiellement dans le souci de préserver le lien des enfants avec leur père et de permettre à celui-ci de régulariser sa situation en Espagne, la Cour renoncera exceptionnellement à inscrire l’expulsion au SIS, dans l’espoir que l’appelant mette à profit cette ultime chance qui lui est donnée de s’amender.</w:t>
      </w:r>
    </w:p>
    <w:p>
      <w:r>
        <w:rPr>
          <w:b/>
        </w:rPr>
        <w:t>E. 5</w:t>
      </w:r>
    </w:p>
    <w:p>
      <w:r>
        <w:t>L'appelant, qui succombe sur l’essentiel, supportera 80% des frais de la procédure envers l'État (art. 428 CPP). Le verdict de première instance étant intégralement confirmé, sous réserve d’un point mineur, il n’y a pas lieu de modifier la répartition des frais du TCO.</w:t>
      </w:r>
    </w:p>
    <w:p>
      <w:r>
        <w:rPr>
          <w:b/>
        </w:rPr>
        <w:t>E. 6.1</w:t>
      </w:r>
    </w:p>
    <w:p>
      <w:r>
        <w:t>Considéré globalement, l'état de frais produit par M e C______, défenseure d'office de A______, satisfait les exigences légales et jurisprudentielles régissant l'assistance judiciaire gratuite en matière pénale. L’indemnité forfaitaire sera toutefois calculée à 10%, l’activité totale dépassant 30 heures.</w:t>
      </w:r>
    </w:p>
    <w:p>
      <w:r>
        <w:rPr>
          <w:b/>
        </w:rPr>
        <w:t>E. 6.2</w:t>
      </w:r>
    </w:p>
    <w:p>
      <w:r>
        <w:t>La rémunération de M e C______ sera partant arrêtée à CHF 2'550.-, correspondant à 15 heures d'activité au tarif de CHF 150.-/heure, plus la majoration forfaitaire de 10% et une vacation pour les débats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