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P/15500/2011 vom 24. November 2014</w:t>
      </w:r>
    </w:p>
    <w:p>
      <w:r>
        <w:t>GE Cour de justice, 2014-11-24, FR</w:t>
      </w:r>
    </w:p>
    <w:p>
      <w:r>
        <w:rPr>
          <w:b/>
        </w:rPr>
        <w:t xml:space="preserve">Quelle: </w:t>
      </w:r>
      <w:r>
        <w:t>https://mcp.opencaselaw.ch/entscheid/ge_gerichte_P_15500_2011</w:t>
      </w:r>
    </w:p>
    <w:p>
      <w:r>
        <w:t>FR: GE_GERICHTE P/15500/2011 du 24 novembre 2014</w:t>
      </w:r>
    </w:p>
    <w:p>
      <w:r>
        <w:t>IT: GE_GERICHTE P/15500/2011 del 24 novembre 2014</w:t>
      </w:r>
    </w:p>
    <w:p>
      <w:pPr>
        <w:pStyle w:val="Heading2"/>
      </w:pPr>
      <w:r>
        <w:t>Regeste</w:t>
      </w:r>
    </w:p>
    <w:p>
      <w:r>
        <w:t>ACTE D'ORDRE SEXUEL AVEC UN ENFANT; INDEMNITÉ(EN GÉNÉRAL); TORT MORAL | CP.187.1; CO.49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comparaison avec d'autres cas similaires ou comparables, conduite avec circonspection, peut s'avérer utile. Ont ainsi été accordées des indemnités de : -       CHF 10'000.- à une enfant âgée de 10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![endif]&gt;![if&gt; -       CHF 20'000.- à une enfant âgée de 7 ans au commencement des faits, sur laquelle son oncle avait, durant une période de six ans, commis des attouchements en la caressant sur les fesses, les seins et le sexe, en y introduisant parfois les doigts, en la masturbant, à une fréquence soutenue d'au moins une fois par mois, mineure qui a été durablement traumatisée, sa vie personnelle, affective, sexuelle et professionnelle en ayant été fortement affectée ( AARP/81/2014 du 27 février 2014) ;![endif]&gt;![if&gt; -       CHF 30'000.- à une enfant ayant subi, entre douze et quinze ans, à réitérées reprises, des actes d'ordres sexuels et des viols, commis par le compagnon de sa mère, lequel avait profité de la crainte qu'il lui inspirait en raison du comportement qu'il avait adopté vis-à-vis de la sœur de l'enfant, mineure qui souffrait d’angoisses et de flashbacks qui l'inquiétaient et la perturbaient sur le plan scolaire, mais résiliente ( AARP/92/2012 du 26 mars 2012) ;![endif]&gt;![if&gt; -       CHF 35'000.- à une enfant abusée par son oncle, à une fréquence régulière et pendant plus d'une année et demi, alors qu'elle avait 11 ans au début des actes, qu'elle venait d'arriver en Suisse et habitait sous le toit de son abuseur, qu'elle considérait comme son père de substitution, lequel lui avait fait subir des actes d'ordre sexuel (caresses sur la cuisse remontant jusqu'aux fesses, sur les parties intimes, par-dessus les vêtements et à même la peau, baisers, fellations), et des actes sexuels proprement dits, souvent dans des lieux effrayants aux yeux d’un enfant, mineure souffrant durablement d'un désordre post-traumatique complexe nonobstant des années de thérapie ( AARP/445/2012 du 18 décembre 2012).![endif]&gt;![if&gt; 2.2.2 En l’espèce, l'appelante a été victime d'une atteinte importante à son intégrité sexuelle ainsi qu’à son développement sexuel, le seuil de souffrance psychologique dépassant celui en-deçà duquel aucune indemnité n’est due. Le principe d’une indemnisation pour le tort moral enduré lui est dès lors acquis. Elle a subi, pendant plus de trois ans entre 9 et 13 ans, à réitérées reprises, des atteintes à son intégrité sexuelle, commises par son grand-père, soit une figure paternelle dont elle se sentait proche. Une telle expérience est susceptible d’avoir des répercussions permanentes, voire irréversibles, sur son développement sexuel et affectif. Elle a d'ailleurs spécifiquement évoqué son malaise face aux hommes, en particulier avec les hommes âgés et son ami actuel. En raison du lien de parenté étroit qui l'unissait à l'intimé, la victime a enduré les déviances de son grand-père sans oser en parler de crainte d'affecter sa famille. Elle ne s'est délivrée de ce fardeau que pour protéger sa petite sœur et les autres enfants de sa famille dont elle craignait qu'elles deviennent les nouvelles victimes de son grand-père. Le contexte familial dans lequel les actes ont été commis n'est ainsi pas anodin et doit être pris en considération comme amplificateur des souffrances psychologiques subies par l'appelante. L'absence de diagnostic formel d'un stress post-traumatique ne signifie pas que les événements subis n’ont pas été traumatisants, H______ ayant rapporté que sa patiente, qui n’avait pas tendance à en rajouter, souffrait d'angoisse, de cauchemars et de flash-back. Elle avait peur face à son grand-père, craignait la répétition des actes sur elle ou d'autres personnes et des représailles. Très affectée, elle ne pouvait pas décrire les faits dans les détails, était irritable, souffrait de problèmes de mémoire et manifestait un profond désir d'oublier ce qu'elle avait vécu. Elle était toutefois résiliente, disposant de ressources, et avait manifesté une vive volonté de faire face. Ses parents, ainsi que ses proches, ont évoqué une jeune fille renfermée dont le caractère avait changé suite aux actes subis. Elle n'avait pas retrouvé sa joie de vivre et souffrait encore terriblement. Son cursus scolaire avait également été affecté et elle avait dû faire face à une perte de poids importante suite au dévoilement. Certes, lors de l'audience de jugement, l'appelante a déclaré se sentir mieux, mais la Dresse I______ a attesté qu'en février 2014 elle souffrait encore de troubles du sommeil, maux de tête, brûlures d'estomac et d'anxiété diffuse. Non content d'avoir intenté à son intégrité sexuelle, l'intimé n'a pas hésité à traiter sa petite-fille de menteuse durant toute la procédure, cherchant de surcroit à reporter sa faute en prétendant que sa petite-fille était responsable des actes qu'il admettait avoir commis. Un tel comportement ne peut qu'induire un traumatisme supplémentaire pour une enfant de cet âge, qui a des difficultés à exprimer ses sentiments et fait preuve de dissociation traumatique selon sa psychologue. Au vu de ce qui précède, le montant de CHF 7'000.- alloué à l'appelante par les premiers juges ne reflète qu'imparfaitement les souffrances qu'elle a endurées. Il convient en conséquence d'augmenter l'indemnité qui lui a été octroyée, sans aller jusqu'à tripler son indemnisation. En effet, les prétentions qu'elle fait valoir apparaissent quelque peu trop élevées au regard de la jurisprudence, des montants équivalents étant accordés en cas d'actes sexuels complets commis à réitérés reprises sur de jeunes enfants sur une longue période. Il n'est pas question ici de nier les souffrances de l'appelante, mais de déterminer au vu des circonstances du cas d'espèce s'il convient de s'écarter des montants usuellement accordés, qui sont de l'ordre de CHF 10'000.-, en cas d'actes d'ordre sexuels, sans acte sexuel complet, commis par un membre de la famille sur un jeune enfant pendant une longue période, à une fréquence soutenue et ayant encore des répercussions durables sur le développement de l'enfant, perdurant après la cessation des actes. Tel est le cas en l'occurrence au vu du contexte familial particulier de cette affaire et de l'attitude de l'intimé durant la procédure, ajoutant aux souffrances de l'appelante, qui doit également être pris en considération. Il apparaît dès lors adéquat de lui accorder une indemnité de CHF 15'000.- s'inscrivant dans le sens des récents développements de la jurisprudence. Il sera ainsi fait partiellement droit aux conclusions de l'appelante en ce sens que B______ sera condamné à lui verser une indemnité de CHF 15'000.-, avec intérêts à 5 % dès le 31 décembre 2008, en réparation du tort moral subi. Le jugement du Tribunal correctionnel sera réformé sur ce point.</w:t>
      </w:r>
    </w:p>
    <w:p>
      <w:r>
        <w:rPr>
          <w:b/>
        </w:rPr>
        <w:t>E. 3</w:t>
      </w:r>
    </w:p>
    <w:p>
      <w:r>
        <w:t>L'appelante obtenant gain de cause pour l'essentiel, les frais de la procédure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