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P/154/2019 vom 11. Februar 2019</w:t>
      </w:r>
    </w:p>
    <w:p>
      <w:r>
        <w:t>GE Cour de justice, 2019-02-11, FR</w:t>
      </w:r>
    </w:p>
    <w:p>
      <w:r>
        <w:rPr>
          <w:b/>
        </w:rPr>
        <w:t xml:space="preserve">Quelle: </w:t>
      </w:r>
      <w:r>
        <w:t>https://mcp.opencaselaw.ch/entscheid/ge_gerichte_P_154_2019</w:t>
      </w:r>
    </w:p>
    <w:p>
      <w:r>
        <w:t>FR: GE_GERICHTE P/154/2019 du 11 février 2019</w:t>
      </w:r>
    </w:p>
    <w:p>
      <w:r>
        <w:t>IT: GE_GERICHTE P/154/2019 del 11 febbraio 2019</w:t>
      </w:r>
    </w:p>
    <w:p>
      <w:pPr>
        <w:pStyle w:val="Heading2"/>
      </w:pPr>
      <w:r>
        <w:t>Regeste</w:t>
      </w:r>
    </w:p>
    <w:p>
      <w:r>
        <w:t>SOUPÇON ; RISQUE DE FUITE ; PROPORTIONNALITÉ | CPP.221; CP.139; LET.115; LET.119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l'existence de charges suffisantes.![endif]&gt;![if&gt;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2.2</w:t>
      </w:r>
    </w:p>
    <w:p>
      <w:r>
        <w:t>Se rend coupable de vol celui qui, pour se procurer ou procurer à un tiers un enrichissement illégitime, aura soustrait une chose mobilière appartenant à autrui dans le but de se l'approprier (art. 139 ch. 1 CP). Le vol implique donc, outre le dessein d'enrichissement illégitime, le dessein d'appropriation (ATF 90 IV 14 consid. 4a p. 18 s.). L'auteur réalise cette appropriation par une soustraction, c'est-à-dire par le bris de la possession (au sens allemand de Gewahrsam) et par la constitution d'une nouvelle possession d'autrui sur la chose (ATF 132 IV 110 consid. 2.1 p. 110; ATF 115 IV 104 consid. 1c/aa p. 106).![endif]&gt;![if&gt; Selon l'art. 137 al.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w:t>
      </w:r>
    </w:p>
    <w:p>
      <w:r>
        <w:rPr>
          <w:b/>
        </w:rPr>
        <w:t>E. 2.3</w:t>
      </w:r>
    </w:p>
    <w:p>
      <w:r>
        <w:t>Est puni d'une peine privative de liberté d'un an au plus ou d'une peine pécuniaire celui qui séjourne illégalement en Suisse, notamment après l'expiration de la durée du séjour non soumis à autorisation ou du séjour autorisé (art. 115 al. 1 let. b LEI). Selon l'art. 119 al. 1 LEI, quiconque enfreint une assignation à un lieu de résidence ou une interdiction de pénétrer dans une région déterminée (art. 74 LEI) s'expose à une peine privative de liberté de trois ans au plus ou d'une peine pécuniaire.</w:t>
      </w:r>
    </w:p>
    <w:p>
      <w:r>
        <w:rPr>
          <w:b/>
        </w:rPr>
        <w:t>E. 2.4</w:t>
      </w:r>
    </w:p>
    <w:p>
      <w:r>
        <w:t>En l'espèce, les explications du prévenu s'agissant des trois téléphones portables retrouvés en sa possession ne sont pas de nature à amoindrir les charges retenues contre lui puisque, contrairement aux allégations selon lesquelles il les avait trouvés dans le train et souhaité les apporter aux objets trouvés lors de son arrivée en gare, ces appareils ont été découvert en sa possession lorsque leurs propriétaires ont composé leurs numéros et, de ce fait, déclenché leurs sonneries. À aucun moment le recourant n'a informé le contrôleur ni les agents C______ avoir trouvé des téléphones et souhaité les restituer ou les déposer au guichet des objets trouvés. En l'état, la prévention de vol ou d'enrichissement illégitime demeure donc suffisante. La prévention pénale est également suffisante pour les infractions à la LEI, le recourant étant démuni d'autorisation de séjour en Suisse et ayant enfreint une interdiction de territoire. Les soupçons de la commission de ces infractions étant suffisants à justifier une détention provisoire, au sens de l'art. 221 al. 1 CPP, point n'est besoin d'examiner si le recourant peut, en outre, être soupçonné d'avoir enfreint la loi sur les armes et d'avoir eu le dessein de receler des cigarettes.</w:t>
      </w:r>
    </w:p>
    <w:p>
      <w:r>
        <w:rPr>
          <w:b/>
        </w:rPr>
        <w:t>E. 3</w:t>
      </w:r>
    </w:p>
    <w:p>
      <w:r>
        <w:t>Le recourant ayant fondé son recours sur l'absence de charges suffisantes, il considère comme dénué de pertinence l'examen des risques de collusion, réitération et fuite. En l'occurrence, le recourant présente des risques concrets de fuite – compte tenu de sa situation administrative en Suisse et de l'absence d'attaches dans ce pays, son épouse vivant à Toulouse selon ses déclarations – et de réitération – au vu de ses condamnations récentes, notamment pour vol et séjour illégal –. ![endif]&gt;![if&gt;</w:t>
      </w:r>
    </w:p>
    <w:p>
      <w:r>
        <w:rPr>
          <w:b/>
        </w:rPr>
        <w:t>E. 4</w:t>
      </w:r>
    </w:p>
    <w:p>
      <w:r>
        <w:t>Aucune mesure de substitution, au sens de l'art. 237 CPP ne paraît de nature, en l'espèce, à pallier les risques précités et le recourant n'en propose d'ailleurs pas.![endif]&gt;![if&gt;</w:t>
      </w:r>
    </w:p>
    <w:p>
      <w:r>
        <w:rPr>
          <w:b/>
        </w:rPr>
        <w:t>E. 5</w:t>
      </w:r>
    </w:p>
    <w:p>
      <w:r>
        <w:t>Le recourant conclut, subsidiairement, à la prolongation de la détention provisoire pour une durée d'un mois.![endif]&gt;![if&gt;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le Ministère public a ordonné que les paquets de cigarettes et le couteau soient photographiés, respectivement mesuré. Il doit par ailleurs, à la suite du renvoi de l'audition des policiers, convoquer une nouvelle audience, avant de transmettre le dossier aux autorités pénales vaudoises. Le délai au 11 avril 2019 accordé par le TMC est excessif pour l'exécution de ces deux actes d'instruction. Il sera dès lors ramené au 1 er avril 2019, la prolongation pour une durée d'un mois, depuis le renvoi non prévisible de l'audience, étant suffisante pour convoquer une nouvelle audience, étant relevé que le rapport demandé à la police le 1 er mars 2019 (photographies et mesure) pourra être transmis aux autorités vaudoises après le transfert du prévenu, s'il ne peut être rédigé plus tôt.</w:t>
      </w:r>
    </w:p>
    <w:p>
      <w:r>
        <w:rPr>
          <w:b/>
        </w:rPr>
        <w:t>E. 6</w:t>
      </w:r>
    </w:p>
    <w:p>
      <w:r>
        <w:t>Le recours s'avère ainsi partiellement fondé. L'ordonnance querellée sera ainsi annulée en tant qu'elle prolonge la détention provisoire du recourant au 11 avril 2019, et son échéance sera ramenée au 1 er avril 2019.![endif]&gt;![if&gt;</w:t>
      </w:r>
    </w:p>
    <w:p>
      <w:r>
        <w:rPr>
          <w:b/>
        </w:rPr>
        <w:t>E. 7</w:t>
      </w:r>
    </w:p>
    <w:p>
      <w:r>
        <w:t>Les frais seront laissés à la charge de l'État.![endif]&gt;![if&gt;</w:t>
      </w:r>
    </w:p>
    <w:p>
      <w:r>
        <w:rPr>
          <w:b/>
        </w:rPr>
        <w:t>E. 8</w:t>
      </w:r>
    </w:p>
    <w:p>
      <w:r>
        <w:t>Il n'y a pas lieu d'indemniser, à ce stade (cf. art. 135 al. 2 CPP), le défenseur d'office, qui ne l'a du reste pas demandé.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