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P/15491/2016 vom 16. April 2020</w:t>
      </w:r>
    </w:p>
    <w:p>
      <w:r>
        <w:t>GE Cour de justice, 2020-04-16, FR</w:t>
      </w:r>
    </w:p>
    <w:p>
      <w:r>
        <w:rPr>
          <w:b/>
        </w:rPr>
        <w:t xml:space="preserve">Quelle: </w:t>
      </w:r>
      <w:r>
        <w:t>https://mcp.opencaselaw.ch/entscheid/ge_gerichte_P_15491_2016</w:t>
      </w:r>
    </w:p>
    <w:p>
      <w:r>
        <w:t>FR: GE_GERICHTE P/15491/2016 du 16 avril 2020</w:t>
      </w:r>
    </w:p>
    <w:p>
      <w:r>
        <w:t>IT: GE_GERICHTE P/15491/2016 del 16 aprile 2020</w:t>
      </w:r>
    </w:p>
    <w:p>
      <w:pPr>
        <w:pStyle w:val="Heading2"/>
      </w:pPr>
      <w:r>
        <w:t>Regeste</w:t>
      </w:r>
    </w:p>
    <w:p>
      <w:r>
        <w:t>LCR.90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MP ne doit-il pas y faire mention des preuves ou des considérations tendant à corroborer les faits (arrêt du Tribunal fédéral 6B_947/2015 du 29 juin 2017 consid. 7.1 et les références). L'acte d'accusation doit permettre, à sa lecture, de comprendre les faits et les infractions qui sont reprochés au prévenu, et à celui-ci d'exercer efficacement ses droits à la défense. L'acte d'accusation n'est pas une fin en soi, mais un moyen de circonscrire l'objet du procès pénal et de garantir l'information de l'accusé, afin que celui-ci ait la possibilité de se défendre. L'acte d'accusation doit ainsi décrire précisément les infractions reprochées, tant sur le plan objectif que subjectif. Il faut se garder de tout formalisme excessif dans les exigences formulées à l'égard de l'acte d'accusation. Un acte d'accusation n'est pas un jugement (arrêt du Tribunal fédéral 6B_799/2014 du 11 décembre 2014 in Forumpoenale 5/2015 p. 262). 2.2.2.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2.2.3. Lorsque par la voie de l'opposition, l'affaire est transmise au tribunal de première instance, l'ordonnance pénale tient lieu d'acte d'accusation (art. 356 al. 1 CPP).</w:t>
      </w:r>
    </w:p>
    <w:p>
      <w:r>
        <w:rPr>
          <w:b/>
        </w:rPr>
        <w:t>E. 2.3</w:t>
      </w:r>
    </w:p>
    <w:p>
      <w:r>
        <w:t>L'intimé se plaint d'une violation de la maxime d'accusation. L'ordonnance pénale du 30 janvier 2017, valant acte d'accusation, indique précisément le lieu, la date, l'heure des faits et les actes reprochés, soit le fait d'avoir circulé à la vitesse de 117 km/h, alors que la vitesse maximale autorisée était de 80 km/h. Les éléments y décrits, certes brièvement comme le prévoit d'ailleurs la loi, sont suffisants pour écarter tout doute quant au comportement reproché au prévenu. Certes le MP n'a invoqué l'existence de travaux sur le tronçon en cause et l'arrêté de l'OFROU du 10 mars 2016 que dans son ordonnance sur opposition du 26 juin 2019. Il n'en demeure pas moins que, selon la jurisprudence bien établie, l'acte d'accusation ne poursuit pas le but de justifier ni de prouver le bien-fondé des allégations du MP qui sont discutés lors des débats. Il n'est partant nul besoin que des preuves ou des considérations tendant à corroborer les faits y figurent. En d'autres termes, le MP n'était pas obligé de mentionner ces deux éléments dans l'ordonnance pénale du 30 janvier 2017, étant relevés qu'ils tendaient à fonder la culpabilité en lien avec les faits y décrits. Ces deux éléments étaient au demeurant connus du prévenu depuis sa prise de connaissance du courrier du MP du 7 janvier 2019 les mentionnant expressément. Il a ainsi valablement pu faire valoir son point-de-vue notamment sur ces deux points dès son audition par le MP. Le but d'information de la maxime d'accusation a ainsi pleinement été respecté. L'intimé a pu dans ces conditions non seulement s'expliquer mais également valablement faire valoir ses moyens de défense de sorte que son grief sera rejeté.</w:t>
      </w:r>
    </w:p>
    <w:p>
      <w:r>
        <w:rPr>
          <w:b/>
        </w:rPr>
        <w:t>E. 3</w:t>
      </w:r>
    </w:p>
    <w:p>
      <w:r>
        <w:t>3.1.1. Conformément à l'art. 90 LCR, celui qui viole les règles de la circulation prévues par ladite loi ou par les dispositions d'exécution émanant du Conseil fédéral est puni de l'amende (al. 1). Celui qui, par une violation grave d'une règle de la circulation, créé un sérieux danger pour la sécurité d'autrui ou en prend le risque est puni d'une peine privative de liberté de trois ans au plus ou d'une peine pécuniaire (al. 2 ). Les dispositions suivantes font partie des règles de la circulation routière dont la violation est sanctionnée par l'art. 90 LCR : ·         art. 26 al. 1 LCR : chacun doit se comporter, dans la circulation, de manière à ne pas gêner ni mettre en danger ceux qui utilisent la route conformément aux règles établies ; ·         art. 27 al. 1 LCR : chacun se conformera aux signaux et aux marques ainsi qu'aux ordres de police. Les signaux et les marques priment les règles générales [...] ; ·         art. 32 al. 1 LCR : la vitesse doit toujours être adaptée aux circonstances, notamment aux particularités du véhicule et du chargement, ainsi qu'aux conditions de la route, de la circulation et de la visibilité.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3.1.2.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 arrêts du Tribunal fédéral 6B_1300/2016 du 5 décembre 2017 consid. 2.1.2 non publié in ATF 143 IV 500 ; 6B_444/2016 du 3 avril 2017 consid. 1.1). 3.1.3.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p. 512 = SJ 2018 I 277 ; ATF 132 II 234 consid. 3.1 p. 237 ss ; ATF 124 II 259 consid. 2b p. 261 ss ; ATF 123 II 106 consid. 2c p. 113 et les références ; arrêts du Tribunal fédéral 6B_444/2016 du 3 avril 2017 consid. 1.1 ; 6B_865/2014 du 2 avril 2015 consid. 1.5).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 Le Tribunal fédéral a en outre jugé que ces seuils s'appliquaient aux configurations classiques mais ne pouvaient être transposés sans autre aux portions de route sur lesquelles la vitesse était limitée pour des raisons de sécurité, une adaptation au type de route comparable devant être opérée dans un tel cas (arrêt du Tribunal fédéral 6B_444/2016 du 3 avril 2017 consid. 1.3.1).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(cf. ATF 128 II 131 consid. 2b). C'est ainsi que le Tribunal fédéral a considéré qu'un tronçon d'autoroute limité à 80 km/h en raison de la présence d'un chantier et d'ouvriers, quand bien même les usagers disposaient de deux voies dans le même sens de marche, s'apparentait à une route hors localité (arrêt du Tribunal fédéral 6B_444/2016 du 3 avril 2017 consid. 1.3.1), de même qu'une sortie d'autoroute limitée à 60 km/h, en raison de la configuration qui, selon la végétation ou les constructions obstruant le passage, limite fortement la vue devant soi, augmentant de façon considérable le danger de collision en cas de bouchon (ATF 128 II 131 consid. 2b). 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 3.2.1. En l'espèce, il est constant que le véhicule de l'intimé a été flashé à la vitesse de 117 km/h sur un tronçon d'autoroute limité à 80 km/h, ce qu'il ne conteste pas. Il ressort de la décision de l'OFROU du 10 mars 2016, dument publiée dans la Feuille fédérale et accessible à tout un chacun, que le tronçon d'autoroute sur lequel a été commis l'excès de vitesse était limité à 80 km/h en raison de travaux dans les deux sens de circulation, l'excès constaté l'ayant été à la fin de limitation (km ______ (numéro)) dans le sens de circulation ______ (VD - douane de ______ (VD), eu égard au danger potentiel. Partant, en application de la jurisprudence, ce tronçon d'autoroute était assimilé à l'époque des faits à une route située en dehors d'une localité, eu égard au danger potentiel, quand bien même il est composé de deux voies dans le même sens de marche. Par conséquent, le dépassement de vitesse litigieux étant supérieur à 30 km/h, soit le seuil retenu pour le cas grave hors localité, il doit être objectivement qualifié de grave. 3.2.2. L'intimé ayant dépassé de manière aussi caractérisée la vitesse autorisée, il a agi intentionnellement ou à tout le moins par négligence grossière, de sorte qu'il existe un lien étroit entre la violation objectivement grave et l'absence de scrupule sous l'angle subjectif. Contrairement à ses allégués et l'avis du TP, il n'existe pas en l'espèce des circonstances particulières permettant d'exclure une absence de scrupules. En effet, la limitation de vitesse était destinée à protéger les usagers de la route et les ouvriers respectivement aux abords et sur le chantier. Or la présence d'un chantier sur la chaussée doit inciter les conducteurs à une attention et une prudence accrues (arrêts du Tribunal fédéral 6B_672/2018 du 20 septembre 2018 consid. 1.3 et 6B_444/2016 du 3 avril 2017 consid. 1.3.1). Certes aucun élément de chantier n'apparait sur la photo versée à la procédure, étant au demeurant relevé que l'angle dans lequel elle a été prise, logiquement vu son but d'identification du conducteur, ne laisse apparaître qu'une infime portion de la chaussée alentour. S'il ne peut partant sur cette seule base être affirmé que ladite portion de la chaussée était alors physiquement entravée par des travaux, l'excès de vitesse constaté l'a été sur un tronçon et dans la période couverte par la décision de l'OFROU rendue en raison du chantier. Autrement dit, dans ces circonstances, ce n'est pas parce que la photo ne montre pas de chantier au km ______ (numéro) qu'il n'y en avait pas dans le secteur. Si l'on s'en tient à l'article de presse versé à la procédure par le TP, tel était alors bien le cas sur le tronçon en cause, dans les tunnels de ______ (GE) et ______ (GE), les travaux étant certes effectués principalement de nuit, ce qui n'exclut partant pas qu'ils le soient également de jour. Quand bien même, le matériel stocké ne disparaissait pas le jour et était une source connue de distraction pour les conducteurs. L'intimé devait dans ces conditions tenir compte d'une présence à tout le moins potentielle d'ouvriers au moment de l'excès de vitesse, ou d'un ralentissement pouvant mettre en danger les autres usagers. L'excès de vitesse commis par l'intimé doit ainsi être qualifié de grave, de sorte qu'il sera reconnu coupable d'infraction à l'art. 90 al. 2 LCR. L'appel du MP sera donc admis sur ce point.</w:t>
      </w:r>
    </w:p>
    <w:p>
      <w:r>
        <w:rPr>
          <w:b/>
        </w:rPr>
        <w:t>E. 4</w:t>
      </w:r>
    </w:p>
    <w:p>
      <w:r>
        <w: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4.2</w:t>
      </w:r>
    </w:p>
    <w:p>
      <w:r>
        <w:t>Les nouvelles dispositions sur le droit des sanctions sont entrées en vigueur le 1 er janvier 2018. En l'espèce, la nouvelle mouture de l'art. 42 al. 4 CP, dont il sera fait application in concreto ( cf consid. 4.4.), prévoyant uniquement la possibilité de prononcer, en plus d'une peine avec sursis, une amende conformément à l'art. 106 CP, est plus favorable à l'intimé. Il sera dès lors fait application du nouveau droit des sanctions en vertu du principe de la lex mitior (art. 2 al. 2 CP). 4.3.1 .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4.3.2. 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4.3.3. L'amende au sens de l'art. 106 CP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4.3.4. 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amende (R.ROTH / L. MOREILLON [éds], Code pénal I : art. 1-100 CP, Bâle 2009, n. 19 ad art. 106), taux de conversion généralement appliqué et admis par la jurisprudence.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rPr>
          <w:b/>
        </w:rPr>
        <w:t>E. 4.4</w:t>
      </w:r>
    </w:p>
    <w:p>
      <w:r>
        <w:t>En l'espèce, la faute de l'intimé est importante. En commettant un excès de vitesse de 33 km/h, pour sa seule convenance personnelle, il a agi au détriment de la sécurité d'autrui et sans considération pour les règles de la circulation applicables. Ce faisant, quelles que soient les conditions météorologiques et l'intensité du trafic, il a créé un danger sérieux pour les autres usagers de la route et potentiellement les ouvriers, quand bien même les travaux le jour en cause ne se seraient déroulés que de nuit. La collaboration de l'intimé à la procédure doit être qualifiée de bonne, dès lors qu'il a immédiatement admis le dépassement de vitesse constaté. D'ailleurs, il semble avoir pris conscience de l'acte dès lors qu'il a vendu sa voiture et affirme conduire rarement. Il n'a aucun antécédent judiciaire, élément toutefois neutre s'agissant de la fixation de la peine (ATF 141 IV 61 consid. 6.3.2 p. 70). Au vu de ce qui précède, une peine pécuniaire de 30 jours-amende à CHF 100.- l'unité représente une sanction adéquate, qui tient également compte de la situation financière de l'intimé. Le sursis, dont les conditions sont réalisées, doit être accordé à l'intimé. Un délai d'épreuve de deux ans, le minimum légal, est à même de le dissuader de la commission de nouvelles infractions. Le prévenu sera en outre condamné à une amende à titre de sanction immédiate, dans un but de prévention spéciale. Un montant de CHF 600.-, lequel n'excède pas 20% de la peine principale, est approprié à la faute commise. La peine privative de liberté de substitution sera fixée à six jours.</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5.2</w:t>
      </w:r>
    </w:p>
    <w:p>
      <w:r>
        <w:t>L'intimé, qui succombe, sera condamné aux frais de la procédure d'appel qui comprennent un émolument de CHF 1'500.- (art. 428 al. 1 CPP; 14 al. 1 let. e du règlement du 22 décembre 2010 fixant le tarif des frais et dépens en matière pénale [RTFMP - E 4 10.03]. Vu l'issue du litige, les frais de procédure de première instance seront laissés à sa charge, à l'exception de l'émolument complémentaire de CHF 600.- qui restera à celle de l'Etat.</w:t>
      </w:r>
    </w:p>
    <w:p>
      <w:r>
        <w:rPr>
          <w:b/>
        </w:rPr>
        <w:t>E. 6.1</w:t>
      </w:r>
    </w:p>
    <w:p>
      <w:r>
        <w:t>A teneur de l'art. 429 al. 1 let. a CPP, le prévenu a droit, s'il est acquitté totalement ou en partie, à une indemnité pour les dépenses occasionnées par l'exercice raisonnable de ses droit de procédure. 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w:t>
      </w:r>
    </w:p>
    <w:p>
      <w:r>
        <w:rPr>
          <w:b/>
        </w:rPr>
        <w:t>E. 6.2</w:t>
      </w:r>
    </w:p>
    <w:p>
      <w:r>
        <w:t>Les frais de la procédure de première et de seconde instance ayant été mis à charge de l'intimé, ses demandes d'indemnisation pour les dépenses occasionnées par l'exercice raisonnable de ses droits de procédure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