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P/15480/2019 vom 21. September 2023</w:t>
      </w:r>
    </w:p>
    <w:p>
      <w:r>
        <w:t>GE Cour de justice, 2023-09-21, FR</w:t>
      </w:r>
    </w:p>
    <w:p>
      <w:r>
        <w:rPr>
          <w:b/>
        </w:rPr>
        <w:t xml:space="preserve">Quelle: </w:t>
      </w:r>
      <w:r>
        <w:t>https://mcp.opencaselaw.ch/entscheid/ge_gerichte_P_15480_2019</w:t>
      </w:r>
    </w:p>
    <w:p>
      <w:r>
        <w:t>FR: GE_GERICHTE P/15480/2019 du 21 septembre 2023</w:t>
      </w:r>
    </w:p>
    <w:p>
      <w:r>
        <w:t>IT: GE_GERICHTE P/15480/2019 del 21 settembre 2023</w:t>
      </w:r>
    </w:p>
    <w:p>
      <w:pPr>
        <w:pStyle w:val="Heading2"/>
      </w:pPr>
      <w:r>
        <w:t>Erwägungen</w:t>
      </w:r>
    </w:p>
    <w:p>
      <w:r>
        <w:rPr>
          <w:b/>
        </w:rPr>
        <w:t>E. 1</w:t>
      </w:r>
    </w:p>
    <w:p>
      <w:r>
        <w:t>L'appel est recevable pour avoir été interjeté et motivé selon la forme et dans les délais prescrits (art. 398 et 399 du Code de procédure pénale [CPP]). La CPAR limite son examen aux violations décrites dans l'acte d'appel (art. 404 al. 1 CPP), sauf en cas de décisions illégales ou inéquitables (art. 404 al. 2 CPP).</w:t>
      </w:r>
    </w:p>
    <w:p>
      <w:r>
        <w:rPr>
          <w:b/>
        </w:rPr>
        <w:t>E. 2</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w:t>
      </w:r>
    </w:p>
    <w:p>
      <w:r>
        <w:t>3.1.1.1. Selon l'art. 173 ch. 1 CP, celui qui, en s'adressant à un tiers, aura accusé une personne ou jeté sur elle le soupçon de tenir une conduite contraire à l'honneur, ou de tout autre fait propre à porter atteinte à sa considération, ou aura propagé une telle accusation ou un tel soupçon, sera puni d'une peine pécuniaire de 180 jours-amende au plus.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Le fait d'accuser une personne d'avoir commis un crime ou un délit intentionnel entre dans les prévisions de l'art. 173 ch. 1 CP (ATF 132 IV 112 consid. 2.2 ; 118 IV 248 consid. 2b ; arrêt du Tribunal fédéral 6B_138/2008 du 22 janvier 2009 consid. 3.1). La diffamation suppose une allégation de fait, et non pas un simple jugement de valeur (ATF 137 IV 313 consid. 2.1.2 ; 117 IV 27 consid. 2c).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128 IV 53 consid. 1a). Les propos incriminés dans le cadre de l'art. 173 CP doivent avoir été adressés à un tiers, lequel peut être un avocat, un magistrat ou un fonctionnaire (arrêt du Tribunal fédéral 6B_974/2018 du 20 décembre 2018 consid. 2.3.1). Du point de vue subjectif, il suffit que l'auteur ait eu conscience du caractère attentatoire à l'honneur de ses propos et qu'il les ait néanmoins proférés ; il n'est pas nécessaire qu'il ait eu la volonté de blesser la personne visée (ATF 137 IV 313 consid. 2.1.2, 2.1.3 et 2.1.6). 3.1.1.2. Conformément à l'art. 173 ch. 2 CP, même si le caractère diffamatoire des propos est établi, l'inculpé n'encourra aucune peine s'il prouve que les allégations qu'il a articulées ou propagées sont conformes à la vérité ou qu'il avait des raisons sérieuses de les tenir de bonne foi pour vraies. La preuve de la vérité est apportée lorsque les allégations attentatoires à l'honneur correspondent, pour l'essentiel, à la vérité (ATF 71 IV 187 consid. 2 ; arrêts du Tribunal fédéral 6B_333/2008 du 9 mars 2009 consid. 1.3 ; 6B_461/2008 du</w:t>
      </w:r>
    </w:p>
    <w:p>
      <w:r>
        <w:rPr>
          <w:b/>
        </w:rPr>
        <w:t>E. 4</w:t>
      </w:r>
    </w:p>
    <w:p>
      <w:r>
        <w:t>4.1.1. La diffamation est punissable d'une peine pécuniaire, tandis que l'injure l'est d'une peine pécuniaire de 90 jours-amende au plus.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4.1</w:t>
      </w:r>
    </w:p>
    <w:p>
      <w:r>
        <w:t>.3. Les principes de l'art. 47 CP valent aussi pour le choix entre plusieurs sanctions possibles et non seulement pour la détermination de la durée de celle qui est prononcée. Que ce soit par son genre ou sa quotité, la peine doit être adaptée à la culpabilité de l'auteur.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4.1.4</w:t>
      </w:r>
    </w:p>
    <w:p>
      <w:r>
        <w:t>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Selon l'art. 34 al. 2 2 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juge dispose d'un large pouvoir d'appréciation lui permettant de procéder à une estimation du montant du jour-amende en fonction des informations dont il dispose (arrêts du Tribunal fédéral 6B_133/2018 du 27 juillet 2018 consid. 3.1 ; 6B_568/2012 du 16 novembre 2012 consid. 2.1).</w:t>
      </w:r>
    </w:p>
    <w:p>
      <w:r>
        <w:rPr>
          <w:b/>
        </w:rPr>
        <w:t>E. 4.2</w:t>
      </w:r>
    </w:p>
    <w:p>
      <w:r>
        <w:t>En l'espèce, la faute de l'intimée n'est pas anodine. Elle s'en est prise à plusieurs reprises à l'honneur de son ancienne compagne, qu'elle a injuriée et diffamée. Il y a concours d'infractions, ce qui justifie une augmentation de la peine dans une juste proportion. Les mobiles de l'intimée sont égoïstes, en tant qu'ils procèdent d'une envie de dire du mal d'autrui, dans un mouvement de colère, que le contexte de séparation conflictuel du couple permet d'expliquer, mais en aucun cas de justifier, de sorte que l'intimée aurait pu et dû agir autrement. La collaboration de l'intimée a été bonne en tant qu'elle a reconnu avoir tenu les propos qui lui sont imputés. Elle s'est toutefois désintéressée du sort de la procédure pénale, preuve en est ses défauts aux débats de première instance et d'appel. L'intimée n'a absolument pas pris conscience de la portée de ses agissements, dont elle ne s'est ni repentie, ni excusée. Vu la condamnation prononcée à l'encontre de l'intimée le 5 décembre 2019, il convient de fixer une peine complémentaire, les peines à prononcer étant de même genre. L'infraction la plus grave est la diffamation qui emporte, à elle seule, le prononcé d'une peine pécuniaire de 40 jours-amende, qu'il convient d'augmenter de 30 jours-amende pour l'accès indu à un système informatique (peine théorique : 40 jours-amende) et de cinq jours-amende pour l'injure (peine théorique : 10 jours-amende). Ainsi, pour l'ensemble des infractions, c'est une peine pécuniaire de 75 jours-amende qu'il conviendrait de fixer, de sorte qu'en retranchant les 30 jours-amende correspondant à la condamnation du 5 décembre 2019, c'est en définitive une peine pécuniaire complémentaire de 45 jours-amende qui sera infligée à l'intimée. Le montant du jour-amende de CHF 30.-, tout comme le sursis et le délai d'épreuve de trois ans sont acquis à l'intimée.</w:t>
      </w:r>
    </w:p>
    <w:p>
      <w:r>
        <w:rPr>
          <w:b/>
        </w:rPr>
        <w:t>E. 5</w:t>
      </w:r>
    </w:p>
    <w:p>
      <w:r>
        <w:t>5.1. L'intimée, qui succombe en appel, supportera la totalité des frais de la procédure envers l'Etat (art. 428 CPP), qui comprennent un émolument de décision de CHF 1'500.-.</w:t>
      </w:r>
    </w:p>
    <w:p>
      <w:r>
        <w:rPr>
          <w:b/>
        </w:rPr>
        <w:t>E. 5.2</w:t>
      </w:r>
    </w:p>
    <w:p>
      <w:r>
        <w:t>La répartition des frais de première instance, telle qu'elle résulte du jugement entrepris, ne sera pas modifiée (art. 428 al. 3 CPP).</w:t>
      </w:r>
    </w:p>
    <w:p>
      <w:r>
        <w:rPr>
          <w:b/>
        </w:rPr>
        <w:t>E. 6</w:t>
      </w:r>
    </w:p>
    <w:p>
      <w:r>
        <w:t>6.1.1.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 AARP/291/2021 du 13 septembre 2021 consid. 8.1.3). La partie plaignante a obtenu gain de cause au sens de cette norme lorsque le prévenu a été condamné et/ou si les prétentions civiles ont été admises, à tout le moins partiellement ( AARP/180/2021 du 29 juin 2021 consid. 8.8.1).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 6.1.2. La juste indemnité couvre les dépenses et les frais nécessaires pour faire valoir le point de vue de la partie plaignante dans la procédure pénale.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 e éd., Bâle 2014, N 19 ad art. 429). 6.2.1. En l'occurrence, le principe de la couverture des dépenses de la plaignante pour ses frais de défense dans la procédure d'appel est justifié et les tarifs horaires appliqués adéquats, tout comme le temps d'activité consacré au dossier. L'indemnisation accordée à la plaignante pour ses frais de défense dans la procédure d'appel sera dès lors arrêtée en totalité à CHF 2'863.05, TVA comprise. 6.2.2. Non contestée en appel dans sa quotité, l'indemnité octroyée à l'intimée pour ses frais de défense pour la procédure préliminaire et de première instance ne sera pas revue.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