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P/15474/2017 vom 21. Mai 2018</w:t>
      </w:r>
    </w:p>
    <w:p>
      <w:r>
        <w:t>GE Cour de justice, 2018-05-21, FR</w:t>
      </w:r>
    </w:p>
    <w:p>
      <w:r>
        <w:rPr>
          <w:b/>
        </w:rPr>
        <w:t xml:space="preserve">Quelle: </w:t>
      </w:r>
      <w:r>
        <w:t>https://mcp.opencaselaw.ch/entscheid/ge_gerichte_P_15474_2017</w:t>
      </w:r>
    </w:p>
    <w:p>
      <w:r>
        <w:t>FR: GE_GERICHTE P/15474/2017 du 21 mai 2018</w:t>
      </w:r>
    </w:p>
    <w:p>
      <w:r>
        <w:t>IT: GE_GERICHTE P/15474/2017 del 21 maggio 2018</w:t>
      </w:r>
    </w:p>
    <w:p>
      <w:pPr>
        <w:pStyle w:val="Heading2"/>
      </w:pPr>
      <w:r>
        <w:t>Regeste</w:t>
      </w:r>
    </w:p>
    <w:p>
      <w:r>
        <w:t>ABUS DE CONFIANCE ; CONTRAINTE(DROIT PÉNAL) ; VIOLATION DE DOMICILE | CPP.310; CP.52; CP.138; CP.181; CP.186; CO.257; LGFL.1</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Les faits et moyens de preuve nouveaux sont recevables devant l'instance de recours (arrêts du Tribunal fédéral 1B_768/2012 du 13 janvier 2013 consid. 2.1; 1B_332/2013 du 20 décembre 2013 consid. 6.2).</w:t>
      </w:r>
    </w:p>
    <w:p>
      <w:r>
        <w:rPr>
          <w:b/>
        </w:rPr>
        <w:t>E. 3</w:t>
      </w:r>
    </w:p>
    <w:p>
      <w:r>
        <w:t>Le recourant fait grief au Ministère public de ne pas être entré en matière sur sa plainte pénale, et ce, sans avoir procédé aux actes d'enquête qui, selon lui, auraient permis d'établir les faits. 3.1.1. 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que les conditions mentionnées à l'art. 8 imposent de renoncer à l'ouverture d'une poursuite pénale (let. c). Le ministère public doit être certain que les faits ne sont pas punissables (ATF 137 IV 285 consid. 2.3 et les références citées). Le principe "in dubio pro duriore" découle du principe de la légalité (art. 5 al. 1 Cst. et 2 al. 2 CPP en relation avec les art. 19 al. 1 et 324 CPP ; ATF 138 IV 86 consid. 4.2 ;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 La non-entrée en matière peut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Commentaire romand : Code de procédure pénale suisse , Bâle 2011, n. 10 ad art. 310 ; R. PFISTER-LIECHTI (éd.), La procédure pénale fédérale, Fondation pour la formation continue des juges suisses, Berne 2010, p. 62 ; DCPR/85/2011 du 27 avril 2011). 3.1.2. Selon l'art. 310 al. 1 let. c CPP, le ministère public renonce à toute poursuite pénale lorsque le droit fédéral le prévoit, notamment lorsque les conditions visées à l'art. 52 CP sont remplies.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w:t>
      </w:r>
    </w:p>
    <w:p>
      <w:r>
        <w:rPr>
          <w:b/>
        </w:rPr>
        <w:t>E. 4</w:t>
      </w:r>
    </w:p>
    <w:p>
      <w:r>
        <w:t>Le recourant considère, en premier lieu, que le comportement des mis en cause est constitutif d'un abus de confiance.</w:t>
      </w:r>
    </w:p>
    <w:p>
      <w:r>
        <w:rPr>
          <w:b/>
        </w:rPr>
        <w:t>E. 4.1</w:t>
      </w:r>
    </w:p>
    <w:p>
      <w:r>
        <w:t>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 arrêts du Tribunal fédéral 6B_613/2016 et 6B_627/2016 du 1 er décembre 2016 consid. 4 ; 6B_635/2015 du 9 février 2016 consid. 3.1). Le comportement délictueux consiste à utiliser la valeur patrimoniale contrairement aux instructions reçues, en s'écartant de la destination fixée (ATF 129 IV 257 consid. 2.2.1 ; arrêts du Tribunal fédéral 6B_279/2017 du 23 janvier 2018 consid. 2.1 ; 6B_20/2017 du 6 septembre 2017 consid. 5.2 ; 6B_356/2016 du 6 mars 2017 consid. 2.1).</w:t>
      </w:r>
    </w:p>
    <w:p>
      <w:r>
        <w:rPr>
          <w:b/>
        </w:rPr>
        <w:t>E. 4.2</w:t>
      </w:r>
    </w:p>
    <w:p>
      <w:r>
        <w:t>Conformément à l'art. 257e CO, si le locataire de locaux commerciaux fournit des sûretés en espèces, le bailleur doit les déposer auprès d'une banque, sur un compte d'épargne ou de dépôt au nom du locataire (al. 1). La banque ne peut restituer les sûretés qu'avec l'accord des deux parties ou sur la base d'un commandement de payer non frappé d'opposition ou d'un jugement exécutoire (al. 3). Les cantons peuvent édicter des dispositions complémentaires (al. 4). Dans son art. 1 al. 1 de la loi genevoise protégeant les garanties fournies par les locataires (LGFL ; RS I 4 10), le droit cantonal rappelle que toute garantie en espèces en faveur d'un bailleur par un locataire doit être constituée sous la forme d'un dépôt bloqué auprès de la caisse de consignation de l'Etat ou d'un établissement bancaire reconnu comme office de consignation au sens de l'art. 633 al. 3 CO. Ainsi, le bailleur qui reçoit des espèces à titre de garantie d'une location doit, dans les 10 jours, se conformer aux dispositions de l'art. 1. À défaut, il est tenu de restituer la garantie avec intérêts (art. 3 LGFL). Celui qui contrevient aux dispositions de la présente loi est passible de l'amende, sous réserve des peines plus élevées prévues par le code pénal suisse (art. 9 al. 1 LGFL).</w:t>
      </w:r>
    </w:p>
    <w:p>
      <w:r>
        <w:rPr>
          <w:b/>
        </w:rPr>
        <w:t>E. 4.3</w:t>
      </w:r>
    </w:p>
    <w:p>
      <w:r>
        <w:t>En l'espèce, un montant de CHF 48'000.- a été remis aux mis en cause par le recourant à titre de garantie de loyer, conformément au contrat de mise en gérance conclu le 1 er octobre 2015. Ladite somme était destinée à prémunir les bailleurs contre d'éventuels retards de paiement de loyers, contre de possibles dégâts advenus à la chose louée, voire contre toute autre dette née du contrat de bail. Conformément à leurs obligations légales et contractuelles, pour bénéficier de cette protection, les mis en cause étaient tenus de verser la somme reçue à ce titre sur un compte bloqué, ce qui, de leur aveu, n'a pas été le cas. En effet, ils ont conservé la somme dans une enveloppe à leur domicile. En agissant de la sorte, les mis en cause ont ainsi contrevenus aux règles légales précitées. Indépendamment de cette violation de la loi, ils ont, à la fin du contrat de bail, compensé les loyers impayés et diverses factures avec le montant de la garantie. Or, en réalisant une telle compensation, sans l'accord préalable d'un juge, quand bien même les créances pourraient être fondées, les mis en cause ont, sans droit, employé à leur profit la somme de CHF 48'000.-. Partant, il existe, à ce stade une prévention pénale suffisante d'abus de confiance de la part des mis en cause, l'enquête devant déterminer s'ils ont agi dans le but de se procurer ou non un enrichissement illégitime. Le grief sera dès lors admis.</w:t>
      </w:r>
    </w:p>
    <w:p>
      <w:r>
        <w:rPr>
          <w:b/>
        </w:rPr>
        <w:t>E. 5</w:t>
      </w:r>
    </w:p>
    <w:p>
      <w:r>
        <w:t>Le recourant reproche également aux mis en cause de s'être rendus coupables de contrainte et de violation de domicile.</w:t>
      </w:r>
    </w:p>
    <w:p>
      <w:r>
        <w:rPr>
          <w:b/>
        </w:rPr>
        <w:t>E. 5.1</w:t>
      </w:r>
    </w:p>
    <w:p>
      <w:r>
        <w:t>Se rend coupable de contrainte selon l'art. 181 CP celui qui, en usant de violence envers une personne ou en la menaçant d'un dommage sérieux, ou en l'entravant de quelque autre manière dans sa liberté d'action, l'aura obligée à faire, à ne pas faire ou à laisser faire un acte. Le bien juridiquement protégé par l'art. 181 CP est la liberté d'action et de décision, plus particulièrement la libre formation et le libre exercice de la volonté (ATF 141 IV 437 consid. 3.2.1).</w:t>
      </w:r>
    </w:p>
    <w:p>
      <w:r>
        <w:rPr>
          <w:b/>
        </w:rPr>
        <w:t>E. 5.2</w:t>
      </w:r>
    </w:p>
    <w:p>
      <w:r>
        <w:t>Commet une violation de domicile, celui qui, d'une manière illicite et contre la volonté de l'ayant droit, aura pénétré dans un local fermé (art. 186 CP).</w:t>
      </w:r>
    </w:p>
    <w:p>
      <w:r>
        <w:rPr>
          <w:b/>
        </w:rPr>
        <w:t>E. 5.3</w:t>
      </w:r>
    </w:p>
    <w:p>
      <w:r>
        <w:t>En l'occurrence, il ressort du dossier que, le 17 mai 2017, les époux B______/ C______ ont pénétré dans l'établissement situé rue 1______ n° 34, en l'absence de leur sous-locataire et sans son autorisation, et qu'à cette occasion, ils ont notamment procédé au changement de la serrure de la porte d'entrée, sans remettre au recourant un jeu de la nouvelle clé. Or, à ce moment-là, la résiliation du bail à loyer n'était pas encore effective, l'avis de résiliation adressé au recourant le lendemain ne prenant effet qu'au 30 juin 2017. Le contexte allégué par les mis en cause, soit l'abandon du restaurant, laissant craindre un problème de sécurité relatif aux appareils et installations électriques restés branchés, l'absence de réponse de la part du recourant s'agissant d'une assurance-responsabilité civile et la menace de la régie de résilier le bail à loyer en raison des désagréments liés aux containers, n'autorisait pas pour autant les agissements des mis en cause, en l'absence d'urgence particulière ou d'un état de nécessité rendu vraisemblable. Et cela d'autant plus que, selon les déclarations du recourant, les époux B______/C______ possédaient un jeu de clé et pouvaient donc accéder aux locaux sans pour autant procéder au changement de la serrure. Les comportements décrits apparaissent ainsi constitutifs d'infractions de contrainte et de violation de domicile. Partant, les auditions de D______, de F______, de G______ ou de tout ancien client ou d'éventuel voisin ne s'avèrent pas pertinentes. Cependant, la Chambre de céans relève que le recourant ne s'est jamais plaint d'avoir été empêché de poursuivre son activité commerciale - bien au contraire, en raison de la baisse de fréquentation, il ne souhaitait pas réintégrer les locaux - mais reprochait finalement uniquement aux mis en cause de ne pas avoir été en mesure de récupérer ses affaires personnelles, qui lui ont été restituées depuis. Partant, tant au niveau de leur culpabilité que des conséquences de leurs actes, leur comportement remplit les conditions de l'art. 52 CP. Sous cet angle, l'ordonnance querellée sera donc confirmée.</w:t>
      </w:r>
    </w:p>
    <w:p>
      <w:r>
        <w:rPr>
          <w:b/>
        </w:rPr>
        <w:t>E. 6</w:t>
      </w:r>
    </w:p>
    <w:p>
      <w:r>
        <w:t>Partiellement fondé, le recours sera admis, la décision querellée partiellement annulée et la cause renvoyée au Ministère public pour ouverture d'une instruction dans le sens des considérants.</w:t>
      </w:r>
    </w:p>
    <w:p>
      <w:r>
        <w:rPr>
          <w:b/>
        </w:rPr>
        <w:t>E. 7</w:t>
      </w:r>
    </w:p>
    <w:p>
      <w:r>
        <w:t>Le recourant, partie plaignante, ayant obtenu partiellement gain de cause, il sera dispensé des frais de procédure dans cette mesure (art. 428 al. 4 CPP). Compte tenu des autres griefs soulevés, pour lesquels il succombe, il se justifie de le condamner aux frais de procédure, fixés en totalité à CHF 1'000.-, à la hauteur de CHF 600.-, le solde étant laissé à la charge de l'État (art. 13 du Règlement fixant le tarif des frais en matière pénale, RTFMP ; E 4 10.03). Le montant dû sera prélevé sur les sûretés versées et le solde lui sera restitué.</w:t>
      </w:r>
    </w:p>
    <w:p>
      <w:r>
        <w:rPr>
          <w:b/>
        </w:rPr>
        <w:t>E. 8</w:t>
      </w:r>
    </w:p>
    <w:p>
      <w:r>
        <w:t>Il ne lui sera pas alloué d'indemnité pour les honoraires d'avocat, faute de les avoir chiffrés et justifiés (art. 433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