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P/15469/2012 vom 18. Dezember 2014</w:t>
      </w:r>
    </w:p>
    <w:p>
      <w:r>
        <w:t>GE Cour de justice, 2014-12-18, FR</w:t>
      </w:r>
    </w:p>
    <w:p>
      <w:r>
        <w:rPr>
          <w:b/>
        </w:rPr>
        <w:t xml:space="preserve">Quelle: </w:t>
      </w:r>
      <w:r>
        <w:t>https://mcp.opencaselaw.ch/entscheid/ge_gerichte_P_15469_2012</w:t>
      </w:r>
    </w:p>
    <w:p>
      <w:r>
        <w:t>FR: GE_GERICHTE P/15469/2012 du 18 décembre 2014</w:t>
      </w:r>
    </w:p>
    <w:p>
      <w:r>
        <w:t>IT: GE_GERICHTE P/15469/2012 del 18 dicembre 2014</w:t>
      </w:r>
    </w:p>
    <w:p>
      <w:pPr>
        <w:pStyle w:val="Heading2"/>
      </w:pPr>
      <w:r>
        <w:t>Regeste</w:t>
      </w:r>
    </w:p>
    <w:p>
      <w:r>
        <w:t>LOI FÉDÉRALE SUR LA CIRCULATION ROUTIÈRE; PRÉSOMPTION D'INNOCENCE | CEDH.6.2; Cst.32.1; CPP.10.3; LCR.90.2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2.2.1 Selon l'art. 90 ch. 2 LCR, celui qui, par une violation grave d’une règle de la circulation, aura créé un sérieux danger pour la sécurité d’autrui ou en aura pris le risque, sera puni d’une peine privative de liberté de trois ans au plus ou d’une peine pécuniaire. Est ainsi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disposition (…) n'a aucune portée propre et ne suffit pas, à elle seule, à fonder une condamnation pénale. Il doit nécessairement être complétée par l'énoncé, dans le jugement, de la ou des règles de circulation qui ont été violées dans le cas d'espèce, afin de réunir le couple incrimination - sanction (Y. JEANNERET, Les dispositions pénales de la Loi sur la circulation routière - LCR, Berne 2007, n. 15 ad art. 90 LCR). 2.2.2 En vertu de l'art. 26 al. 1 LCR, chacun doit se comporter, dans la circulation, de manière à ne pas gêner ni mettre en danger ceux qui utilisent la route conformément aux règles établies. La vitesse doit toujours être adaptée aux circonstances, notamment aux particularités du véhicule et du chargement, ainsi qu'aux conditions de la route, de la circulation et de la visibilité (art. 32 al. 1 LCR). Remplit les conditions objectives et subjectives de l'art. 90 ch. 2 LCR tout excès de vitesse dépassant de 30 km/h ou plus la vitesse autorisée à l'extérieur des localités (ATF 132 II 234 consid. 3.2.; Y. JEANNERET, op. cit. , pp. 53-54, n. 48 et les références citées).</w:t>
      </w:r>
    </w:p>
    <w:p>
      <w:r>
        <w:rPr>
          <w:b/>
        </w:rPr>
        <w:t>E. 2.3</w:t>
      </w:r>
    </w:p>
    <w:p>
      <w:r>
        <w:t>Ses propres déclarations incriminent au premier chef l'appelant. Elles ont valeur d'aveu quand il reconnaît auprès du témoin B______ l'emprunt de son véhicule pour y chercher des cigarettes et son impossibilité à rejoindre ultérieurement la fête. Certes, l'appelant est quelque peu revenu sur la portée de ses déclarations au cours de l'instruction, sans que ses dénégations ne soient crédibles. Preuve en est que le témoin C______ l'a bien observé brandir les clés de contact et évoqué une "histoire de cigarettes", ce qui conforte le récit du témoin B______. A ces éléments s'ajoute la disparition effective de la voiture de son lieu de stationnement conjuguée à l'absence de l'appelant sur les lieux de la fête au même moment. Ce n'est pas pour autant que le détenteur du véhicule ait craint avoir été victime d'un vol, ce qui est assez révélateur de sa connaissance de la réalité des faits. Il existe d'autres indices probants liés au lendemain de la fête, tel le parcage du véhicule disparu à proximité immédiate du domicile de l'appelant, l'indication par ce dernier du lieu de stationnement, la remise des clés de la voiture et le fait qu'aucun des participants à la fête n'était domicilié dans le même quartier que l'appelant. On comprend mieux dans ces conditions les atermoiements et les contradictions de l'appelant qui est allé jusqu'à nier avoir connu l'emplacement du stationnement du véhicule alors même qu'il avait pris soin de le signaler à son détenteur. En soi, le fait qu'il ait un vague souvenir d'avoir pris place dans la voiture comme passager vaut aveu déguisé de culpabilité quand, parallèlement, il ne consent pas à fournir l'identité du conducteur. En réalité, les traits du conducteur, qui ne peuvent se confondre avec le détenteur qui n'a pas quitté le témoin C______ de la soirée et de la nuit, ressemblent à s'y méprendre à ceux de l'appelant. Dans ces circonstances, il ne fait aucun doute que celui-ci a emprunté le véhicule de son ami B______ durant la soirée et que, logiquement, il le lui a restitué le lendemain. La juridiction d'appel est ainsi convaincue, sans le moindre doute possible, que l'appelant est l'auteur de l'excès de vitesse qui lui est reproché. Le jugement entrepris sera ainsi confirmé s'agissant de la culpabilité de l'appelant.</w:t>
      </w:r>
    </w:p>
    <w:p>
      <w:r>
        <w:rPr>
          <w:b/>
        </w:rPr>
        <w:t>E. 3</w:t>
      </w:r>
    </w:p>
    <w:p>
      <w:r>
        <w:t>La condamnation à une peine pécuniaire est acquise à l'appelant, le Ministère public n'ayant pas fait appel. Même si elle respecte formellement les critères de l'art. 47 CP, elle ne doit pas moins être tenue pour très clémente au regard des antécédents spécifiques de l'appelant, à l'instar de l'octroi du sursis.</w:t>
      </w:r>
    </w:p>
    <w:p>
      <w:r>
        <w:rPr>
          <w:b/>
        </w:rPr>
        <w:t>E. 4</w:t>
      </w:r>
    </w:p>
    <w:p>
      <w:r>
        <w:t>Vu l'issue de la procédure d'appel, l'appelant sera débouté de ses conclusions en indemnisation (art. 429 CPP).</w:t>
      </w:r>
    </w:p>
    <w:p>
      <w:r>
        <w:rPr>
          <w:b/>
        </w:rPr>
        <w:t>E. 5</w:t>
      </w:r>
    </w:p>
    <w:p>
      <w:r>
        <w:t>L'appelant, qui succombe, sera condamné aux frais de la procédure d'appel, comprenant un émolument de CHF 2'000.-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