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P/15456/2019 vom 7. Oktober 2022</w:t>
      </w:r>
    </w:p>
    <w:p>
      <w:r>
        <w:t>GE Cour de justice, 2022-10-07, FR</w:t>
      </w:r>
    </w:p>
    <w:p>
      <w:r>
        <w:rPr>
          <w:b/>
        </w:rPr>
        <w:t xml:space="preserve">Quelle: </w:t>
      </w:r>
      <w:r>
        <w:t>https://mcp.opencaselaw.ch/entscheid/ge_gerichte_P_15456_2019</w:t>
      </w:r>
    </w:p>
    <w:p>
      <w:r>
        <w:t>FR: GE_GERICHTE P/15456/2019 du 7 octobre 2022</w:t>
      </w:r>
    </w:p>
    <w:p>
      <w:r>
        <w:t>IT: GE_GERICHTE P/15456/2019 del 7 ottobre 2022</w:t>
      </w:r>
    </w:p>
    <w:p>
      <w:pPr>
        <w:pStyle w:val="Heading2"/>
      </w:pPr>
      <w:r>
        <w:t>Regeste</w:t>
      </w:r>
    </w:p>
    <w:p>
      <w:r>
        <w:t>CP.126</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ATF 127 I 28 consid. 2a).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w:t>
      </w:r>
    </w:p>
    <w:p>
      <w:r>
        <w:rPr>
          <w:b/>
        </w:rPr>
        <w:t>E. 3</w:t>
      </w:r>
    </w:p>
    <w:p>
      <w:r>
        <w:t>3.1.1. Selon l'art. 123 ch. 1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48a). Cette disposition vise les lésions du corps humain ou de la santé qui ne peuvent être qualifiées de graves au sens de l'art. 122 CP. Tel est le cas des meurtrissures, écorchures ou griffures, sauf si ces lésions n'ont pas d'autres conséquences qu'un trouble passager et sans importance du sentiment de bien-être (ATF 134 IV 189 consid. 1.1 ; arrêt du Tribunal fédéral 6B_1283/2018 du 14 février 2019 consid. 2.1). 3.1.2. L'art. 126 al. 1 CP prévoit que celui qui se sera livré sur une personne à des voies de fait qui n'auront causé ni lésion corporelle ni atteinte à la santé sera, sur plainte, puni d'une amende. Les voies de fait, se définissent comme des atteintes physiques qui excèdent ce qui est socialement toléré et qui ne causent ni lésions corporelles, ni dommage à la santé. Une telle atteinte peut exister même si elle n'a causé aucune douleur physique (ATF 134 IV 189 consid. 1.1 ; 119 IV 25 consid. 2a). La distinction entre lésions corporelles et voies de fait peut s'avérer délicate, notamment lorsque l'atteinte s'est limitée à des meurtrissures, des écorchures, des griffures ou des contusions.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 La question peut parfois être résolue de manière satisfaisante par l'application de l'art. 123 ch. 1 al. 2 CP, qui permet une atténuation libre de la peine dans les cas de peu de gravité (cf. ATF 119 IV 25 consid. 2a). 3.1.3. Selon l'art. 180 al. 1 CP, celui qui, par une menace grave, aura alarmé ou effrayé une personne sera, sur plainte, puni d'une peine privative de liberté de trois ans au plus ou d'une peine pécuniaire. Sur le plan objectif, cette infraction suppose la réalisation de deux conditions. Premièrement, il faut que l'auteur ait émis une menace grave. Les menaces de lésions corporelles graves ou de mort sont considérées comme des menaces graves (arrêt du Tribunal fédéral 6B_946/2013 du 10 décembre 2013 consid. 2.3). Le fait de brandir une arme à feu chargée à blanc ou hors d'état de tirer, d'empoigner un couteau de cuisine ou de faire le geste d'égorger sa victime peuvent également tomber sous le coup de l'art. 180 CP (M. DUPUIS / L. MOREILLON / C. PIGUET / S. BERGER / M. MAZOU / V. RODIGARI [éds], Code pénal - Petit commentaire , 2 e éd., Bâle 2017, n. 7-8 ad art. 180). Deuxièmement, il faut que la victime ait été effectivement alarmée ou effrayée. Elle doit craindre que le préjudice annoncé se réalise (arrêt du Tribunal fédéral 6B_787/2018 du 1 er octobre 2018 consid. 3.1). L'infraction est intentionnelle, l'auteur devant avoir l'intention non seulement de proférer des menaces graves, mais aussi d'alarmer ou d'effrayer le destinataire. Le dol éventuel suffit (arrêt du Tribunal fédéral 6B_787/2018 du 1 er octobre 2018 consid. 3.1) 3.1.3.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104 IV 232 consid. c ; arrêt du Tribunal fédéral 6B_600/2014 du 23 janvier 2015 consid. 5.1 non publié in ATF 141 IV 61 ).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SJ 2018 I 385 ; 6B_346/2016 du 31 janvier 2017 consid. 2.1.2). 3.1.4. À teneur de l'art. 16 al. 2 CP, celui qui repousse une attaque en excédant les limites de la légitime défense n'agit pas de manière coupable si cet excès provient d'un état excusable d'excitation ou de saisissement causé par l'attaque.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un état de saisissement au sens de l'art. 16 al. 2 CP. Une simple agitation ou une simple émotion ne suffisent pas. Il faut au contraire que l'état d'excitation ou de saisissement auquel était confronté l'auteur à la suite de l'attaque l'ait empêché de réagir de manière pondérée et responsable. La surprise découlant d'une attaque totalement inattendue peut générer un état de saisissement excusable (ATF 101 IV 119 ; arrêts du Tribunal fédéral 6B_922/2018 du 9 janvier 2020 consid. 2.2 et 6B_873/2018 du 15 février 2019 consid. 1.1.3).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(ATF 102 IV 1 consid. 3b ; SJ 1988 p. 121 ; arrêt du Tribunal fédéral 6B_1015/2014 du 1 er juillet 2015 consid. 3.2). 3.1.5.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 e éd., Genève 2011, n. 555, p. 189). 3.2.1. En l'espèce, l'appelante n'apparaît pas crédible quant au fait qu'elle n'aurait fait que répondre à la violence de son époux. Contrairement à ce qu'elle indique, sa première audition ne fait aucunement état de ce qu'elle n'avait d'autre choix que de " se protéger de deux personnes qui l'agressaient " (cf. mémoire d'appel p. 36). Tout d'abord, elle ne présentait aucune lésion après les faits, contrairement à C______ dont les blessures ont été constatées. L'appelante a expliqué à la police avoir agrippé C______ par le t-shirt et lui avoir donné une claque, sans faire état d'une attaque de la part de celui-ci. Ses propres déclarations, juste après les faits, sont sur ces points parfaitement concordantes avec celles des plaignants, ce qui écarte une éventuelle collusion entre ces derniers. Si elle a décrit avoir reçu deux coups, de la part de son époux et de D______, il ressort toutefois clairement de sa première déclaration que ces coups ont été donné après la gifle qu'elle a infligée à C______. Ce d'autant que ce dernier ne s'attendait pas à voir sa femme, alors que celle-ci était venue dans le but de vérifier ses soupçons le concernant. Une telle réaction de la part de l'appelante est d'ailleurs cohérente avec l'état émotionnel qu'elle décrit, surprise et choquée de le voir sortir avec sa maîtresse. Quant aux déclarations de E______ selon lesquelles son père se serait jeté sur sa mère, elles ne sont pas suffisamment précises pour démontrer cette hypothèse, puisque l'enfant désigne ensuite un affrontement en des termes généraux, sans faire état de coups particuliers portés par son père. Il est ainsi établi, sans doute raisonnable, que l'appelante a agrippé son mari par le t-shirt, l'a giflé et lui a griffé le cou et le visage. C______ a cherché à la maintenir par les poignets et d'autres griffures ont pu alors avoir lieu notamment sur ses bras tels que le montrent les photographies au dossier. L'appelante a ainsi débuté l'altercation, alors qu'aucune attaque, actuelle ou imminente, ne se présentait. L'art. 15 CP n'entre pas en ligne de compte dans un tel cas. Elle a très probablement été submergée par les émotions lorsqu'elle les a vus sortir tous les deux de l'ascenseur, mais cet état ne justifie en rien la violence utilisée, en l'absence d'attaque de la part de son époux. La gifle et les griffures multiples, parfois jusqu'au sang, causées par l'appelante sur le cou, le visage et le bras de C______ sont plus importantes qu'un trouble passager du sentiment de bien-être. Les lésions causées doivent être considérées comme plus sérieuses que de simples voies de fait, mais demeurent de peu de gravité, de sorte que le TP sera suivi sur l'application de l'art. 123 ch. 1 al. 2 CP. 3.2.2. L'appelante a contesté, de manière constante, s'en être prise à D______. Elle indique n'avoir jamais voulu l'empêcher d'appeler la police, voyant la venue de celle-ci plutôt comme un soulagement dans la mesure où c'était elle qui se faisait agresser. Un tel déroulement des faits est peu crédible, dans la mesure où l'on comprend mal comment D______, si elle était en train d'agresser l'appelante, aurait tenté d'appeler la police à deux reprises, alors que les faits n'ont pas duré. De plus, les policiers ont décrit l'appelante comme étant " hystérique " à leur arrivée, alors qu'elle avait dû être calmée, ce qui va à l'encontre du soulagement qu'elle déclare avoir ressenti à la venue des policiers. Il est ainsi établi, sur la base des déclarations de D______ et du comportement préalable de l'appelante tel que retenu par la CPAR, que celle-ci a souhaité appeler la police avec son téléphone portable. L'appelante s'est alors dirigée vers elle, l'a empoignée par les vêtements pour l'en empêcher et lui a fait tomber le téléphone des mains. Ces faits relèvent de l'art. 126 CP, dans la mesure où les actes de l'appelante n'ont causé aucune douleur physique à l'intimée. 3.2.3. Enfin, il est établi que l'appelante a saisi un couteau dont la lame faisait un peu moins de 10 cm. Il importe peu qu'il se trouvât alors dans son sac ou sur le sol, ce couteau ayant été apporté par elle dans son sac de plage. Elle a brandi ce couteau, le tenant pointe vers le haut, sans qu'il ne soit retenu qu'elle a cherché à s'en servir contre son époux ou la maîtresse de celui-ci. Avec le premier juge, il y a lieu de penser que ce couteau n'a causé aucune blessure, contrairement à ce qu'indique l'enfant E______ à l'inverse de tous les autres protagonistes, puisque les blessures constatées sur l'intimé sont plutôt compatibles avec des griffures d'ongles. L'appelante a finalement été maîtrisée par l'intimé qui l'a maintenue par les poignets jusqu'à lui faire lâcher prise du couteau, peu avant l'arrivée de la police. L'appelante conteste avoir menacé l'intimé avec le couteau, puisque la pointe de la lame était tournée vers le ciel. Or, le fait d'empoigner un couteau de cuisine peut suffire à réaliser une menace grave, même lorsque, comme en l'espèce, la pointe n'est pas directement dirigée contre la victime. L'appelante a reconnu l'avoir brandi dans le but d'effrayer celui qui lui faisait face. Le fait que son époux ait été violent par le passé et qu'elle ait sorti son couteau uniquement " pour dire stop " n'y change rien. Elle était bien consciente que son couteau était de nature à faire peur et tel était son but. Il ressort d'ailleurs de son procès-verbal de plainte en France que l'appelante s'était déjà saisie d'un couteau face à son mari auparavant. La réaction de l'intimé, qui a dû maîtriser l'appelante en lui maintenant les poignets alors que celle-ci se débattait, jusqu'à ce qu'elle lâche le couteau, montre bien que cette menace a provoqué chez l'intimé la crainte que quelqu'un soit blessé. Que D______ n'ait pas exprimé avoir eu une telle crainte n'est pas pertinent, puisque l'infraction de menace est reprochée au préjudice de C______ uniquement. Toutes les conditions de l'infraction réprimée par l'art. 180 CP sont donc réalisées. Au vu de l'état de fait retenu et faute d'attaque imminente, le fait justificatif de la légitime défense n'entre pas en ligne de compte, de sorte qu'un excès de celle-ci non plus. Les considérations à ce sujet en lien avec les lésions corporelles simples et voies de fait ( supra § 3.2.1) valent ici mutatis mutandis .</w:t>
      </w:r>
    </w:p>
    <w:p>
      <w:r>
        <w:rPr>
          <w:b/>
        </w:rPr>
        <w:t>E. 4</w:t>
      </w:r>
    </w:p>
    <w:p>
      <w:r>
        <w:t>4.1.1. À teneur de l'art. 144 al. 1 CP, celui qui aura endommagé, détruit ou mis hors d'usage une chose appartenant à autrui ou frappée d'un droit d'usage ou d'usufruit au bénéfice d'autrui sera, sur plainte, puni d'une peine privative de liberté de trois ans au plus ou d'une peine pécuniaire. 4.1.2. Selon l'art. 172 ter al. 1 CP si l'acte ne visait qu'un élément patrimonial de faible valeur ou un dommage de moindre importance, l'auteur sera, sur plainte, puni d'une amende. S'agissant d'objets ayant une valeur marchande ou une valeur objectivement déterminable, celle-ci est seule pertinente pour déterminer si l'acte ne visait qu'un élément patrimonial de faible valeur (ATF 123 IV 113 consid. 3d ; 121 IV 261 consid. 2c). La limite jusqu'à laquelle cette disposition est applicable a été fixée à CHF 300.- (ATF 142 IV 129 consid. 3.1 p. 133 ; 123 IV 113 consid. 3d p. 119). 4.2.1. Au cours de la bagarre, l'appelante a endommagé les lunettes de soleil que portait C______, ce qu'elle admet au demeurant contestant uniquement qu'il soit le propriétaire de ces lunettes et qu'elles étaient adaptées à sa vue. Aucun élément ne permet d'exclure que les lunettes de soleil endommagées lors de l'altercation étaient à la vue du plaignant et donc lui appartenaient. Ce dernier est en effet crédible lorsqu'il indique qu'il s'apprêtait à prendre son scooter et qu'il avait ainsi besoin de ses lunettes de vue. Bien qu'aucune facture ne figure à la procédure, la valeur de ces lunettes de soleil correctrices de marque H______ apparaît supérieure à la limite de CHF 300.- de l'art. 172 ter CP. L'infraction de dommages à la propriété de l'art. 144 CP est ainsi réalisée. 4.2.2. S'agissant du chemisier de l'intimée, l'absence de photographie du chemisier abîmé à la procédure n'empêche pas de considérer ce fait comme établi. Le TP doit effectivement être suivi en ce qu'il n'y a pas lieu de douter de la crédibilité de la plaignante sur ce point, qui n'avait aucune raison de mentir à ce sujet en ne prenant pas de conclusions civiles. Par ailleurs, il n'est pas arbitraire de retenir que le fait d'empoigner un chemisier est effectivement propice à causer la chute d'un bouton, ce dommage visant toutefois un objet de faible valeur. Ces faits sont ainsi constitutifs de dommages à la propriété d'importance mineure, au sens de l'art. 144 al. 1 cum 172 ter CP.</w:t>
      </w:r>
    </w:p>
    <w:p>
      <w:r>
        <w:rPr>
          <w:b/>
        </w:rPr>
        <w:t>E. 5</w:t>
      </w:r>
    </w:p>
    <w:p>
      <w:r>
        <w:t>5.1. Selon l'art. 177 al. 1 CP, celui qui aura, par la parole, l'écriture, l'image, le geste ou par des voies de fait, attaqué autrui dans son honneur sera, sur plainte, puni d'une peine pécuniaire de 90 jours-amende au plus. Le juge pourra exempter le délinquant de toute peine si l'injurié a directement provoqué l'injure par une conduite répréhensible (art. 177 al. 2 CP). Si l'injurié a riposté immédiatement par une injure ou par des voies de fait, le juge pourra exempter de toute peine les deux délinquants ou l'un d'eux (art. 177 al. 3 CP).</w:t>
      </w:r>
    </w:p>
    <w:p>
      <w:r>
        <w:rPr>
          <w:b/>
        </w:rPr>
        <w:t>E. 5.2</w:t>
      </w:r>
    </w:p>
    <w:p>
      <w:r>
        <w:t>Il est établi que l'appelante a traité C______ de " connard " ce qui est constitutif d'injure au sens de l'art. 177 al. 1 CP. L'alinéa 3 de cette disposition ne trouve pas application faute de réponse immédiate, l'injure dont se prévaut l'appelante étant intervenue une dizaine de jours avant les faits.</w:t>
      </w:r>
    </w:p>
    <w:p>
      <w:r>
        <w:rPr>
          <w:b/>
        </w:rPr>
        <w:t>E. 6</w:t>
      </w:r>
    </w:p>
    <w:p>
      <w:r>
        <w:t>Au vu de ce qui précède, le verdict de culpabilité pour les chefs d'infractions retenus par le premier juge sera confirmé et l'appel rejeté.</w:t>
      </w:r>
    </w:p>
    <w:p>
      <w:r>
        <w:rPr>
          <w:b/>
        </w:rPr>
        <w:t>E. 7</w:t>
      </w:r>
    </w:p>
    <w:p>
      <w:r>
        <w:t>7.1.1. Lorsque la peine prononcée par le premier juge n'est pas expressément contestée en appel, dans sa nature ou sa quotité, il incombe néanmoins à la juridiction d'appel de déterminer la sanction adéquate dans le cadre de son jugement (art. 408 CPP). 7.1.2.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 7.1.3.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Une peine d'ensemble en application du principe de l'aggravation suppose que le tribunal ait fixé (au moins de manière théorique) les peines (hypothétiques) de tous les délits (ATF 144 IV 217 consid. 3.5.3). 7.1.4. Aux termes de l'art. 42 al. 1 CP, le juge suspend en règle générale l'exécution d'une peine pécuniaire ou d'une peine privative de liberté de deux ans au plus lorsqu'une peine ferme ne paraît pas nécessaire pour détourner l'auteur d'autres crimes ou délits. 7.1.5. 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7.2.1. En l'espèce, la faute de l'appelante n'est pas négligeable. Malgré la situation compliquée du fait de sa séparation d'avec son époux, elle s'est déplacée sur le lieu de domicile de la nouvelle compagne de ce dernier avec ses enfants, dans un élan de jalousie. Elle a causé de nombreuses lésions à l'intimé, certes de peu de gravité, et a endommagé ses lunettes de soleil, puis a brandi un couteau malgré le risque de blessures graves que cela pouvait causer, alors que son époux tentait de la maîtriser. Elle s'en est également prise à l'intimée qui n'avait, elle, que l'intention de téléphoner à la police. Elle a agi devant sa fille, prenant le risque de la perturber dans son développement en assistant à une telle scène entre ses parents. Que des violences aient pu avoir lieu auparavant entre les époux ne justifie pas son geste le jour des faits, puisqu'elle a elle-même initié le conflit. L'émotion qu'a pu ressentir l'appelante en découvrant son époux avec sa nouvelle compagne ne justifie aucunement la violence déployée. L'injure proférée, bien que non justifiée, peut néanmoins être mise en balance avec ce contexte. L'appelante n'a présenté aucune prise de conscience, rejetant toujours plus la faute sur les plaignants au cours de la procédure. Au vu de sa situation personnelle et financière et de son absence d'antécédents, seule une peine pécuniaire entre en ligne de compte. Il y a concours d'infractions. Les menaces étant l'infraction la plus grave, elle justifie à elle seule une peine pécuniaire de 80 jours-amende, laquelle constitue la peine de base qui sera augmentée de 20 jours-amende pour tenir compte des lésions corporelles simples, lesquelles sont de peu de gravité. S'y ajoutent dix autres jours pour ce qui est du dommage à la propriété et dix jours pour l'injure. Le montant du jour-amende fixé à CHF 50.- est en adéquation avec la situation personnelle et financière de l'appelante (art. 34 al. 1 CP). Le sursis est acquis à l'appelante et la durée du délai d'épreuve de trois ans est appropriée. S'agissant des contraventions (art. 126 CP et art. 144 cum 172 ter ), la condamnation à une amende dont le montant est fixé à CHF 300.- est adéquate et proportionnée. 7.2.2. Partant, la peine pécuniaire et l'amende prononcées en première instance seront entièrement confirmées.</w:t>
      </w:r>
    </w:p>
    <w:p>
      <w:r>
        <w:rPr>
          <w:b/>
        </w:rPr>
        <w:t>E. 8</w:t>
      </w:r>
    </w:p>
    <w:p>
      <w:r>
        <w:t>L'appelante, qui succombe, supportera les frais de la procédure envers l'État (art. 428 CPP), y compris un émolument de jugement de CHF 1'000.- (art. 14 du règlement fixant le tarif des frais en matière pénale [RTFMP]).</w:t>
      </w:r>
    </w:p>
    <w:p>
      <w:r>
        <w:rPr>
          <w:b/>
        </w:rPr>
        <w:t>E. 9</w:t>
      </w:r>
    </w:p>
    <w:p>
      <w:r>
        <w:t>Les conclusions en indemnité fondées sur l'art. 429 al. 1 CPP, non motivées en appel, seront écartées, vu la confirmation du verdict de culpabilité.</w:t>
      </w:r>
    </w:p>
    <w:p>
      <w:r>
        <w:rPr>
          <w:b/>
        </w:rPr>
        <w:t>E. 10</w:t>
      </w:r>
    </w:p>
    <w:p>
      <w:r>
        <w:t>.1.2.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10.2</w:t>
      </w:r>
    </w:p>
    <w:p>
      <w:r>
        <w:t>En l'occurrence, l'activité facturée s'avère trop importante dans un dossier censé connu de l'avocat pour avoir été plaidé en première instance. L'heure d'étude du dossier sera ainsi écartée, car couverte par le forfait. Le mémoire d'appel de 48 pages comporte de nombreuses répétitions et seulement 14 pages d'argumentaire sur le fond. La durée de rédaction du mémoire d'appel sera ainsi réduite en conséquence à huit heures. Le déplacement pour le dépôt du mémoire d'appel au greffe de la Cour de justice n'est pas considéré comme nécessaire, un envoi par voie postale étant tout à fait possible. En conclusion, la rémunération sera arrêtée à CHF 2'714.04 correspondant à dix heures et 30 minutes d'activité au tarif de CHF 200.-/heure plus la majoration forfaitaire de 20% et l'équivalent de la TVA au taux de 7.7% en CHF 194.04.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