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P/15438/2016 vom 7. Oktober 2017</w:t>
      </w:r>
    </w:p>
    <w:p>
      <w:r>
        <w:t>GE Cour de justice, 2017-10-07, FR</w:t>
      </w:r>
    </w:p>
    <w:p>
      <w:r>
        <w:rPr>
          <w:b/>
        </w:rPr>
        <w:t xml:space="preserve">Quelle: </w:t>
      </w:r>
      <w:r>
        <w:t>https://mcp.opencaselaw.ch/entscheid/ge_gerichte_P_15438_2016</w:t>
      </w:r>
    </w:p>
    <w:p>
      <w:r>
        <w:t>FR: GE_GERICHTE P/15438/2016 du 7 octobre 2017</w:t>
      </w:r>
    </w:p>
    <w:p>
      <w:r>
        <w:t>IT: GE_GERICHTE P/15438/2016 del 7 ottobre 2017</w:t>
      </w:r>
    </w:p>
    <w:p>
      <w:pPr>
        <w:pStyle w:val="Heading2"/>
      </w:pPr>
      <w:r>
        <w:t>Regeste</w:t>
      </w:r>
    </w:p>
    <w:p>
      <w:r>
        <w:t>COMMERCE DE STUPÉFIANTS ; ATTÉNUATION DE LA PEINE | .19</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en l'espèce la quotité de la peine (art. 399 al. 4 let. b CPP). La Chambre limite son examen aux violations décrites dans l'acte d'appel (art. 404 al. 1 CPP), sauf en cas de décisions illégales ou inéquitables (art. 404 al. 2 CPP).</w:t>
      </w:r>
    </w:p>
    <w:p>
      <w:r>
        <w:rPr>
          <w:b/>
        </w:rPr>
        <w:t>E. 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Les règles générales régissant la fixation de la peine ont été rappelées aux arrêts publiés aux ATF 141 IV 61 et ATF 136 IV 55 . Il n'y a pas de droit à l'égalité dans l'illégalité, de sorte qu'il n'est pas admissible de réduire une peine considérée comme juste ou équitable au seul motif qu'elle apparaîtrait disproportionnée par rapport à celle infligée à un coaccusé (ATF 135 IV 191 consid. 3.4). En matière de trafic de stupéfiants,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Le type de drogue et sa pureté doivent aussi être pris en considération (ATF 122 IV 299 consid. 2c p. 302 ; 121 IV 202 consid. 2d/cc p. 206). Le type et la nature du trafic en cause sont déterminants : l'appréciation sera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L'étendue géographique du trafic entre également en considération, un trafic purement local étant en règle générale considéré comme moins grave qu'un trafic avec des ramifications internationales. Enfin, le nombre d'opérations constitue un indice pour mesurer l'intensité du comportement délictueux: celui qui écoule une fois un kilo de drogue sera en principe moins sévèrement puni que celui qui vend cent grammes à dix reprises (ATF 122 IV 299 consid. 2b p. 301 ; arrêt du Tribunal fédéral 6B_843/2014 du 7 avril 2015 consid. 1.1.1).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w:t>
      </w:r>
    </w:p>
    <w:p>
      <w:r>
        <w:rPr>
          <w:b/>
        </w:rPr>
        <w:t>E. 2.1</w:t>
      </w:r>
    </w:p>
    <w:p>
      <w:r>
        <w:t>Aux termes de l'art. 19 al. 1 let. b et e LStup, est puni d'une peine privative de liberté de trois ans au plus ou d'une peine pécuniaire, celui qui, sans droit, entrepose, expédie, transporte, importe, exporte des stupéfiants ou les passe en transit, et celui qui finance le trafic illicite de stupéfiants ou sert d'intermédiaire pour son financement. La circonstance aggravante énoncée à l'art. 19 al. 2 LStup est réalisée, lorsque notamment, l'infraction porte sur une quantité de stupéfiants dont l'auteur sait ou ne peut ignorer qu'elle peut mettre en danger la santé de nombreuses personnes (art. 19 al. 2 let. a LStup). Pour la cocaïne, cette dernière condition est objectivement remplie dès que l'infraction porte sur une quantité contenant 18 grammes de substance pure (ATF 122 IV 360 consid. 2a p. 362 ; 138 IV 100 consid. 3.2 p. 102 ; 109 IV 143 consid. 3b p. 145 ; B. CORBOZ, Les infractions en droit suisse , vol. II, 3 e éd., Berne 2010, n. 80 ad art. 19 LStup). Dans le cas de l'aggravante, la quotité de la peine privative de liberté devient d'un an au moins et peut être cumulée à une peine pécuniaire.</w:t>
      </w:r>
    </w:p>
    <w:p>
      <w:r>
        <w:rPr>
          <w:b/>
        </w:rPr>
        <w:t>E. 2.3</w:t>
      </w:r>
    </w:p>
    <w:p>
      <w:r>
        <w:t>En l'espèce, la faute de l'appelant est grave. Il a, entre avril et août 2016, période ne pouvant pas être considérée comme courte, participé à un trafic de drogue portant sur au moins quatre livraisons de cocaïne, totalisant environ 710 grammes net de cette drogue, à un taux de pureté élevé d'environ 55%. Il s’agit d’un trafic à ramifications internationales, le fournisseur principal étant établi en Hollande et l’appelant, qui réside au Portugal, effectuant des voyages dans différentes villes de Suisse afin de récupérer le produit des ventes. Le rôle de l’appelant au sein du trafic ne s’est pas arrêté à celui de collecteur de fonds. La Cour relève qu'il a agi comme intermédiaire du fournisseur hollandais, en exerçant des pressions sur des revendeurs afin qu’ils payent les montants dus pour la marchandise livrée. Il a aussi participé à l'organisation de la livraison des 262 grammes brut de cocaïne à son coaccusé, à la mi-août 2016, assurant le fournisseur que tout s'était bien déroulé. En revanche, la CPAR considère que le rôle de l'appelant est plus subalterne que retenu par les premiers juges, puisqu'il ne ressort pas des écoutes téléphoniques qu'il avait un pouvoir décisionnel au sein du trafic. C'est le fournisseur qui lui indiquait auprès de qui des montants étaient à collecter, l'appelant n'ayant aucune marge de manœuvre et semblant même parfois ignorer le détail de certaines transactions. Sa capacité à s'exprimer en portugais était une qualité supplémentaire dans sa relation avec son coaccusé. Il n'en demeure pas moins que sa position était supérieure à celle d'un revendeur puisqu'il avait un contact direct avec le fournisseur qui lui faisait pleinement confiance. Il manipulait des sommes importantes et n'était pas au contact de la drogue, ne se mettant ainsi pas en danger, ce qui est symptomatique de sa position plus élevée dans le trafic. L'appelant n'a agi que par pur appât du gain, au mépris de la santé des consommateurs, n'étant lui-même pas toxicomane. La Cour relève, au surplus, que les explications qu’il a fourni au stade de l'appel seulement, en lien avec sa mère et son fils, sont peu convaincantes vu les variations dans ses déclarations sur sa situation familiale et personnelle. Sa collaboration est mauvaise et sa prise de conscience limitée. Confronté à l'évidence, il a persisté à nier son implication dans le trafic de cocaïne en affirmant de manière peu crédible qu'il pensait agir dans le cadre de vente de voitures d'occasion pour quelques centaines de francs. Ce n'est que lors de l'audience d'appel qu'il a finalement admis les faits qui lui étaient reprochés, en esquissant des regrets. Ses explications selon lesquelles il était dans l'impossibilité de reconnaître sa faute du fait de pressions exercées par son coaccusé ne convainquent pas, rien n'établissant l’ascendant prétendu de B______, ayant d'ailleurs tenté de le couvrir en déclarant qu'il n'avait rien à voir avec le trafic de cocaïne. Peu de temps avant sa participation au trafic de cocaïne, l'appelant travaillait pour un revenu décent au Portugal, pays où il bénéficiait d'un titre de séjour valable. Il vivait en concubinage avec sa compagne et son fils. Partant sa situation personnelle était stable, ce qui rend son comportement d'autant moins compréhensible. Le fait qu'il se comporte bien en prison et y travaille est le minimum qu'on puisse attendre de lui et a dès lors un effet neutre sur la peine. L'appelant a un antécédent spécifique en matière de stupéfiants en France. Au vu de ce qui précède, la peine privative de liberté sera réduite à trois ans et six mois. Il n'apparait pas que cette peine soit disproportionnée par rapport à celle du coaccusé B______, en particulier au vu des quantités de drogues reprochées, de la dimension internationale du trafic de l'appelant et de sa position plus importante au sein du trafic. L'appel sera donc partiellement admis et le jugement du Tribunal correctionnel réformé dans ce sens.</w:t>
      </w:r>
    </w:p>
    <w:p>
      <w:r>
        <w:rPr>
          <w:b/>
        </w:rPr>
        <w:t>E. 3</w:t>
      </w:r>
    </w:p>
    <w:p>
      <w:r>
        <w:t>Les motifs ayant conduit les premiers juges à prononcer, par ordonnance séparée du 26 avril 2017,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partiellement, supportera la moitié des frais de la procédure envers l'Etat, qui comprennent un émolument de CHF 3'000.-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