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P/1542/2012 vom 4. April 2016</w:t>
      </w:r>
    </w:p>
    <w:p>
      <w:r>
        <w:t>GE Cour de justice, 2016-04-04, FR</w:t>
      </w:r>
    </w:p>
    <w:p>
      <w:r>
        <w:rPr>
          <w:b/>
        </w:rPr>
        <w:t xml:space="preserve">Quelle: </w:t>
      </w:r>
      <w:r>
        <w:t>https://mcp.opencaselaw.ch/entscheid/ge_gerichte_P_1542_2012</w:t>
      </w:r>
    </w:p>
    <w:p>
      <w:r>
        <w:t>FR: GE_GERICHTE P/1542/2012 du 4 avril 2016</w:t>
      </w:r>
    </w:p>
    <w:p>
      <w:r>
        <w:t>IT: GE_GERICHTE P/1542/2012 del 4 aprile 2016</w:t>
      </w:r>
    </w:p>
    <w:p>
      <w:pPr>
        <w:pStyle w:val="Heading2"/>
      </w:pPr>
      <w:r>
        <w:t>Regeste</w:t>
      </w:r>
    </w:p>
    <w:p>
      <w:r>
        <w:t>DISPOSITIONS PÉNALES DE LA LCR ; CIRCULATION SANS PERMIS DE CIRCULATION ; LOI FÉDÉRALE SUR LA CIRCULATION ROUTIÈRE ; CONDUITE SANS AUTORISATION ; FIXATION DE LA PEINE ; PEINE ; FIXATION DE L'AMENDE ; AMENDE | LCR95.3.a; LCR95.1.a; LCR16b.1.c; LCR10.2; OAC24d; CP42.4; CP106</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w:t>
      </w:r>
    </w:p>
    <w:p>
      <w:r>
        <w:t>2.1.1 L'art. 3 al. 2 OAC stipule que le permis de conduire de la sous-catégorie A1 est établi pour les motocycles d'une cylindrée n'excédant pas 125 cm</w:t>
      </w:r>
    </w:p>
    <w:p>
      <w:r>
        <w:rPr>
          <w:b/>
        </w:rPr>
        <w:t>E. 2.3</w:t>
      </w:r>
    </w:p>
    <w:p>
      <w:r>
        <w:t>Sur le plan administratif, en vertu de l'art. 16b al. 1 let. c LCR, commet une infraction moyennement grave la personne qui conduit un véhicule automobile sans être titulaire du permis de conduire de la catégorie correspondante. Selon la doctrine, il convient d'admettre que le seul élément qui doit compter est de savoir si la catégorie concernée a été délivrée ou non à la personne avec tous les actes formels requis. Ainsi, des informalités administratives (p. ex. l'omission d'une demande d'un permis d'élève conducteur ou d'un permis de conduire), notamment dans le domaine des motocycles, constituent des cas d'application de l'art. 16b al. 1 let. c LCR (A. DEMIERRE / C. MIZEL / L. MAURON, Questions choisies sur le nouveau retrait du permis de conduire , in PJA 2005 643, p. 650 n. 8).</w:t>
      </w:r>
    </w:p>
    <w:p>
      <w:r>
        <w:rPr>
          <w:b/>
        </w:rPr>
        <w:t>E. 2.4</w:t>
      </w:r>
    </w:p>
    <w:p>
      <w:r>
        <w:t>Comme l'a relevé la jurisprudence, il n'y a pas de parallélisme total entre les degrés de gravité de l'art. 16 LCR et ceux de l'art. 90 LCR. Néanmoins, l'on ne saurait, sans motif important, donner une interprétation différente à des notions très voisines contenues dans la même loi (ATF 118 IV 188 consid. 2.b p. 190).</w:t>
      </w:r>
    </w:p>
    <w:p>
      <w:r>
        <w:rPr>
          <w:b/>
        </w:rPr>
        <w:t>E. 2.5</w:t>
      </w:r>
    </w:p>
    <w:p>
      <w:r>
        <w:t>En l'espèce, il est établi et non contesté qu'au moment des faits litigieux, le permis d'élève conducteur de la sous-catégorie A1, délivré à l'appelant le 13 juin 2007, était échu depuis le 13 octobre 2007, dans la mesure où, depuis cette date, il n'avait pas demandé de nouvelle prolongation, malgré les trois prolongations antérieures qui lui avaient été accordées, ni suivi, dans le délai de quatre mois, l'instruction pratique de base. S'il est vrai qu'il était titulaire, depuis le 18 octobre 1994, d'un permis de conduire de la catégorie B et de la sous-catégorie A1, cette dernière était toutefois limitée aux motocycles ne circulant pas à plus de 45 km/h (ancienne catégorie F), ce qu'il ne conteste pas non plus. Le jour de son interpellation, l'appelant ne disposait donc pas d'une autorisation valable pour conduire un motocycle de 125 cm</w:t>
      </w:r>
    </w:p>
    <w:p>
      <w:r>
        <w:rPr>
          <w:b/>
        </w:rPr>
        <w:t>E. 3</w:t>
      </w:r>
    </w:p>
    <w:p>
      <w:r>
        <w:t>dont la vitesse n'était pas limitée à 45 km/h. La question qui se pose ici est ainsi de savoir si, comme le soutient l'appelant, la limitation de vitesse affectant son permis de conduire constitue une simple restriction au sens de l'art. 24d OAC. Comme indiqué supra , la sous-catégorie A1 limitée à 45 km/h, correspond à l'ancienne catégorie F (art. 151d al. 11 OAC), également limitée à 45 km/h (art. 3 al. 1 aOAC [état au 7 août 2001]), qui était automatiquement délivrée à un conducteur possédant un permis de catégorie B (art. 3 al. 3 let. b OAC [état au</w:t>
      </w:r>
    </w:p>
    <w:p>
      <w:r>
        <w:rPr>
          <w:b/>
        </w:rPr>
        <w:t>E. 3.2</w:t>
      </w:r>
    </w:p>
    <w:p>
      <w:r>
        <w:t>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w:t>
      </w:r>
    </w:p>
    <w:p>
      <w:r>
        <w:rPr>
          <w:b/>
        </w:rPr>
        <w:t>E. 3.4</w:t>
      </w:r>
    </w:p>
    <w:p>
      <w:r>
        <w:t>En l'espèce, la faute de l'appelant est moyenne. Son attitude désinvolte vis-à-vis des dispositions en vigueur en matière de permis de conduire aurait pu nuire à la sécurité d'autrui et dénote un mépris des règles de la circulation routière, ce d'autant plus que l'appelant, qui est avocat, circulait, selon ses propres dires, depuis plusieurs années sur sa Vespa sans permis valable, alors qu'il avait d'ores et déjà requis et obtenu trois prolongations de son permis d'élève conducteur. Aucune circonstance atténuante n'est réalisée. La peine de 15 jours-amende prononcée par le premier juge, non contestée en tant que telle, est adéquate. Il en va de même de la quotité, fixée à CHF 110.-, qui correspond à la situation personnelle et économique de l'appelant. Le bénéfice du sursis, dont les conditions sont réalisées, est acquis à l'appelant (art. 391 al. 2 CPP). La durée du délai d'épreuve fixé à deux ans ne prête pas flanc à la critique (art. 44 al. 1 CP). L'appelant ne semble pas avoir pris conscience du caractère répréhensible de ses actes, puisqu'alors même qu'il sait que son comportement n'était pas conforme au droit, tel que cela ressort de l'arrêt du Tribunal fédéral du 18 décembre 2013, il persiste à soutenir n'avoir commis aucune erreur, si bien que le prononcé d'une amende à titre de sanction immédiate se justifie. Le montant de l'amende sera ainsi fixé à CHF 350.-, dans le respect de la jurisprudence, en tant que sanction immédiate et secondaire par rapport à la peine principale prononcée. La peine privative de liberté de substitution sera quant à elle fixée à trois jours. Le jugement entrepris sera dès lors réformé dans ce sens. 4. L'appel joint ayant été admis, l'appelant principal, qui succombe, supportera les frais de la procédure d'appel, qui comprennent un émolument de jugement de CHF 2'000.- (art. 428 CPP et 14 al. 1 let. e du Règlement fixant le tarif des frais en matière pénale ; E 4 10.03). * * * * *</w:t>
      </w:r>
    </w:p>
    <w:p>
      <w:r>
        <w:rPr>
          <w:b/>
        </w:rPr>
        <w:t>E. 7</w:t>
      </w:r>
    </w:p>
    <w:p>
      <w:r>
        <w:t>août 2001]) n'ayant jamais suivi de cours de conduite sur un motocycle. Contrairement aux restrictions et conditions listées au chapitre 4 des Instructions, l'appelant ne pouvait pas demander à l'autorité compétente d'éliminer ladite limitation de vitesse (art. 24e OAC), ceci sans avoir suivi la formation nécessaire exigée par l'art. 19 OAC, d'autant plus que désormais le titulaire d'un permis de catégorie B n'est plus automatiquement autorisé à conduire des motocycles (art. 3 al. 3 et 4 al. 1 OAC a contrario ). Dans son arrêt du 18 décembre 2013, le Tribunal fédéral a d'ailleurs confirmé que, le jour des faits, l'appelant ne disposait pas du permis de conduire de la catégorie correspondante, au sens de l'art. 16b al. 1 let. c LCR. Par conséquent, en circulant, le 13 janvier 2012, au volant de son motocycle de la sous-catégorie A1 atteignant plus de 45 km/h, l'appelant a conduit sans être titulaire du permis de conduire " requis ", notion devant être interprétée de la même manière que la notion de " catégorie correspondante " figurant à l'art. 16b al. 1 let. c LCR. La culpabilité de l'appelant du chef de l'art. 95 al. 1 let. a LCR doit ainsi être confirmée.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