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P/15401/2019 vom 30. April 2020</w:t>
      </w:r>
    </w:p>
    <w:p>
      <w:r>
        <w:t>GE Cour de justice, 2020-04-30, FR</w:t>
      </w:r>
    </w:p>
    <w:p>
      <w:r>
        <w:rPr>
          <w:b/>
        </w:rPr>
        <w:t xml:space="preserve">Quelle: </w:t>
      </w:r>
      <w:r>
        <w:t>https://mcp.opencaselaw.ch/entscheid/ge_gerichte_P_15401_2019</w:t>
      </w:r>
    </w:p>
    <w:p>
      <w:r>
        <w:t>FR: GE_GERICHTE P/15401/2019 du 30 avril 2020</w:t>
      </w:r>
    </w:p>
    <w:p>
      <w:r>
        <w:t>IT: GE_GERICHTE P/15401/2019 del 30 aprile 2020</w:t>
      </w:r>
    </w:p>
    <w:p>
      <w:pPr>
        <w:pStyle w:val="Heading2"/>
      </w:pPr>
      <w:r>
        <w:t>Regeste</w:t>
      </w:r>
    </w:p>
    <w:p>
      <w:r>
        <w:t>CONTRAVENTION;DISPOSITIONS PÉNALES DE LA LCR | LCR.90.al1; LCR.34.al4; LCR.37</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 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e phrase CPP). Il s'agit là d'une exception au principe du plein pouvoir de cognition de l'autorité de deuxième instance qui conduit à qualifier d'appel "restreint"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2.1.1. L'art. 90 al. 1 LCR punit de l'amende celui qui viole les règles de circulation prévues par cette loi ou ses dispositions d'exécution. L'art. 90 al. 1 LCR constitue la base légale pour réprimer les violations des règles de la circulation. Cette disposition étant générale et abstraite, elle doit être complétée par l'indication de la ou des règles concrètes de circulation qui ont été violées (ATF 100 IV 71 consid. 1). En effet, elle n'a pas de portée propre, dès lors qu'elle se contente d'ériger en contravention toute infraction simple à cette loi (alinéa 1). Le jugement doit énoncer, dans ses motifs, les règles de la circulation qui ont été violées (JEANNERET, Les dispositions pénales de la Loi sur la circulation routière - LCR , Berne 2007, n. 15 ad art. 90 LCR). 2.1.2. Chacun doit se comporter, dans la circulation, de manière à ne pas gêner ni mettre en danger ceux qui utilisent la route conformément aux règles établies (art. 26 al. 1 LCR). De cette disposition est déduit le principe de la confiance qui permet à l'usager, qui se comporte réglementairement, d'attendre des autres usagers, aussi longtemps que des circonstances particulières ne doivent pas l'en dissuader, qu'ils se comportent de manière conforme aux règles de la circulation, c'est-à-dire ne le gênent pas ni ne le mettent en danger (ATF 125 IV 83 consid. 2b p. 87 ; ATF 118 IV 277 consid. 4a p. 280 ; arrêt du Tribunal fédéral 6B_959/2016 du 6 juillet 2017 consid. 2.2). L'art. 26 al. 1 LCR énonce une règle de prudence. L'automobiliste qui circule sur une route droite ne présentant aucun danger doit aussi compter avec le freinage du véhicule qui précède (A. BUSSY / B. RUSCONI / Y. JEANNERET / A. KUHN / C. MIZEL / CH. MÜLLER, Code suisse de la circulation routière : commentaire , 4 e éd., Lausanne 2015, n. 3.1). Il doit à cet égard faire preuve d'une attention ordinaire, de manière à pouvoir ensuite réagir rapidement en cas de danger. 2.1.3. Le conducteur d'un véhicule est tenu d'en rester constamment maître de façon à pouvoir se conformer aux devoirs de la prudence (art. 31 al. 1 LCR). Il vouera, en particulier, son attention à la route et à la circulation (art. 3 al. 1 1 ère phrase OCR). Le degré de cette attention s'apprécie en regard de l'ensemble des circonstances, telles que la densité du trafic, la configuration des lieux, l'heure, la visibilité, les sources de danger prévisibles, etc. (ATF 122 IV 225 consid. 2b p. 228 ; arrêt du Tribunal fédéral 6S_186/2002 du 25 juillet 2002 consid. 2.2). L'attention requise du conducteur implique qu'il soit en mesure de parer rapidement aux dangers qui menacent la vie, l'intégrité corporelle ou les biens matériels d'autrui (arrêts du Tribunal fédéral 6B_786/2011 du 5 juillet 2012 consid. 2.1 et 6B_216/2010 du 11 mai 2010 consid. 5.1) et la maîtrise du véhicule exige que le conducteur soit, à tout moment, en mesure d'actionner rapidement les commandes de son véhicule en mouvement, de façon à pouvoir, en présence d'un danger, manoeuvrer immédiatement et d'une manière appropriée aux circonstances en présence d'un danger quelconque (A. BUSSY / B. RUSCONI / Y. JEANNERET / A. KUHN / C. MIZEL / CH. MÜLLER, op. cit. , n. 2 ad art. 31). Est considéré comme fautif le fait de tarder de freiner (ATF 106 IV 391 consid. 1 a). 2.1.4. La violation, par le conducteur, de devoirs de prudence imposés par les règles de la circulation routière doit être fautive (ATF 122 IV 133 consid. 2a p. 135 ; arrêt du Tribunal fédéral 6B_253/2012 du 7 septembre 2012 consid. 3.2). Tel est le cas lorsque l'on peut reprocher à l'auteur, compte tenu de ses circonstances personnelles, de n'avoir pas déployé l'attention et les efforts qu'on pouvait attendre de lui pour se conformer à son devoir de prudence (ATF 129 IV 119 consid. 2.1 p. 121 ; 122 IV 17 consid. 2b p. 19 ; 121 IV 207 consid. 2a p. 211). 2.1.5. La violation fautive de devoirs de prudence doit être la cause naturelle et adéquate de l'accident (ATF 133 IV 158 consid. 6 p. 167 ; 129 IV 119 consid. 2.4 p. 123). Un comportement est la cause naturelle d'un résultat s'il en constitue l'une des conditions sine qua non , c'est-à-dire lorsque, sans lui, le résultat ne se serait pas produit (ATF 138 IV 57 consid. 4.1.3 p. 61 ; arrêt du Tribunal fédéral 6B_253/2012 précité, consid. 3.3.2). Le rapport de causalité peut être qualifié d'adéquat si, d'après le cours ordinaire des choses et l'expérience générale de la vie, le comportement était propre à entraîner un résultat du genre de celui qui s'est produit (ATF 138 IV 57 consid. 4.1.3 p. 61 ; arrêt du Tribunal fédéral 6B_253/2012 précité, consid. 3.3.2). La causalité adéquate sera admise même lorsque le comportement de l'auteur n'est pas la cause directe ou unique du résultat. Peu importe que le résultat soit dû à d'autres causes, notamment à l'état de la victime, à son comportement ou à celui de tiers (ATF 131 IV 145 consid. 5.2 p. 148 ; arrêt du Tribunal fédéral 6B_253/2012 précité). La causalité adéquate peut toutefois être exclue si une autre cause concomitante, par exemple le comportement de la victime,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l'évènement considéré, reléguant à l'arrière-plan tous les autres facteurs qui ont contribué à l'amener et notamment le comportement de l'auteur (ATF 134 IV 255 consid. 4.4.2 p. 265 s. et les arrêts cités ; arrêt du Tribunal fédéral 6B_253/2012 précité). 2.1.6. A teneur de l'art. 34 al. 4 LCR, le conducteur doit observer une distance suffisante envers tous les usagers de la route, notamment lorsque des véhicules se suivent. Il doit également, lorsque des véhicules se suivent, pouvoir s'arrêter à temps en cas de freinage inattendu (art. 12 al. 1 OCR). Le freinage inattendu inclut le freinage brusque (ATF 131 IV 133 consid. 3.1). En règle générale, il appartient au conducteur du véhicule de derrière de veiller au respect de la distance raisonnable (ATF 137 IV 326 consid. 3.3.3). 2.1.7. Selon l'art. 37 LCR, le conducteur qui veut s'arrêter aura égard, dans la mesure du possible, aux véhicules qui suivent. A teneur de l'art. 12 al. 2 OCR, les coups de frein et arrêts brusques ne sont admis que si aucun véhicule ne suit. L'art. 37 LCR ne concerne que le cas d'un arrêt voulu et par conséquent prévisible. On ne se trouve pas en présence d'un cas remplissant ces conditions lorsqu'un conducteur est contraint de freiner brusquement pour des circonstances externes, par exemple en raison d'un véhicule circulant devant lui ou de l'apparition soudaine d'un obstacle (ATF 115 IV 248 consid. 4 b). Dans une telle situation qui oblige le conducteur à concentrer toute son attention vers l'avant ou les côtés, on ne peut exiger de lui qu'il ne freine pas brutalement sans s'être assuré dans le rétroviseur s'il se trouve derrière lui un véhicule qu'il pourrait éventuellement mettre en danger. C'est au véhicule qui suit de se préoccuper de maintenir une distance adéquate avec le véhicule qui le précède (ATF 137 IV 326 consid. 3.3.3). 2.2.1. En l'espèce, il est constant que l'intimée a heurté avec l'avant de son véhicule l'arrière de l'automobile de E______ après que ce dernier et D______ ont freiné en raison de l'immobilisation du véhicule du gendarme B______. Les deux automobiles précédant l'intimée, E______ et D______, ont ainsi eu le temps de s'arrêter et d'éviter le choc avec le véhicule les précédant respectivement, ce qui n'a pas été le cas de l'intimée. Elle soutient n'avoir pas eu le temps de réagir avant le choc étant donné qu'elle circulait, selon ses assertions, tantôt à 70 km/h, tantôt à 80 km/h, et l'arrêt brusque de la circulation. Il ressort néanmoins des images de vidéosurveillance que la distance séparant les automobiles D______ et E______ était inférieure à celle séparant celles de E______ et de l'intimée ce qui plaide en sa faveur du respect d'une distance suffisante avec la voiture la précédant. Or, malgré une distance moindre, l'automobiliste E______ a pu s'arrêter sans heurter le véhicule de D______. Au contraire, avec une distance plus importante, l'intimée n'a pu éviter le choc avec l'automobiliste E______. Ceci peut s'expliquer par le fait qu'elle n'était, à teneur des mêmes images, pas encore en train de freiner à son arrivée dans le champ de la caméra de vidéosurveillance, contrairement aux conducteurs E______ et D______ qui avaient alors déjà fortement ralenti en raison de l'immobilisation de B______. Ainsi, quand bien même la route était droite et ne présentait de prime abord aucun danger, l'intimée devait compter avec la possibilité d'un freinage des véhicules qui la précédaient, ce qui, dans le cours ordinaire et l'expérience générale de la vie n'a rien d'extraordinaire, même sur un tronçon de route à deux voies limité à 80 km/h sur lequel un obstacle peut survenir à tout moment, que ce soit un piéton, un animal ou par exemple un carton. Il doit ainsi être retenu que l'intimée n'a pas fait preuve de toute l'attention requise pour parer aux dangers potentiels de la circulation, lesquels se sont matérialisée en l'espèce, et n'a pas réagi promptement, violant ainsi son devoir de prudence. Elle n'a pas eu le réflexe requis de freiner immédiatement, ce qui aurait pu éviter qu'elle n'entre en collision avec le véhicule E______. Enfin, quand bien même il ressort effectivement des images de vidéosurveillance que le véhicule précédant directement l'intimée était un fourgon, cela l'obligeait à faire d'autant plus preuve d'une vigilance et d'une prudence accrues et ne l'exempte nullement de sa faute. 2.2.2. Selon l'intimée, le véhicule de police a adopté une manoeuvre particulièrement dangereuse en se déplaçant d'abord sur la voie de droite de la route puis ensuite sur la voie de gauche sans prévenir quiconque et empêchant de la sorte les véhicules qui le précédaient d'anticiper son freinage sauvage et inopportun. Le TP, quant à lui, a estimé que l'intimée était "légitimée à se prévaloir d'une violation du principe de la confiance par l'agent de police B______, consistant à freiner soudainement au milieu d'une voie rapide, pour parer à un danger non avéré et sans actionner les feus bleus ou la sirène de son véhicule ". Et le TP de conclure que même si l'intimée avait fait preuve d'inattention, le comportement du policier était exceptionnel au point de rompre le lien de causalité adéquate entre une éventuelle faute de la prévenue et l'accident. 2.2.3. Ces raisonnements ne sauraient être suivis. Le gendarme B______ a en effet déclaré avoir freiné de manière progressive de façon à ne pas surprendre les véhicules qui le suivaient. Ses déclarations sont corroborées par le rapport RAG 2000 A+ qui démontre le début du freinage 84 m avant son arrêt et un laps de temps de 7.6 secondes entre l'actionnement du frein et l'arrêt final. Le conducteur D______ a corroboré ces éléments, ayant qualifié de non brusque le freinage du véhicule de police de sorte qu'il a eu le temps de s'arrêter à environ 1.50 m dudit véhicule. Le gendarme B______ a encore expliqué qu'avant de freiner, il s'était assuré en regardant dans les rétroviseurs que les véhicules le suivant pourraient s'arrêter. Certes, il n'a enclenché le clignotant de direction et n'a actionné les feus bleus qu'une fois immobilisé. Il n'en demeure pas moins que ces comportements ne sont pas de nature à rompre le lien de causalité entre la faute de l'intimée et l'accident qui s'est produit. Tout d'abord, les feux bleus de la voiture de police étaient enclenchés avant le choc qui s'est produit entre la voiture de l'intimée et celle de E______. Ensuite, même si le gendarme B______ a commis une faute en n'enclenchant pas le clignotant de direction alors qu'il se déportait légèrement sur la voie de droite, tel comportement n'est pas de nature à rompre le lien de causalité adéquate entre le manque d'attention reproché à l'intimée et le heurt qui s'est produit entre sa voiture et celle de E______. Comme déjà relevé, nonobstant ces circonstances, moyennant un freinage immédiat et appuyé, à l'instar du témoin E______, elle aurait en effet pu empêcher la collision. 2.2.4. Ainsi, au regard de ce qui précède, l'appel du MP sera admis sur ce point et l'intimée sera déclaré coupable de violation simple des règles de la circulation routière (art. 90 al. 1 LCR).</w:t>
      </w:r>
    </w:p>
    <w:p>
      <w:r>
        <w:rPr>
          <w:b/>
        </w:rPr>
        <w:t>E. 3</w:t>
      </w:r>
    </w:p>
    <w:p>
      <w:r>
        <w:t>3.1.1. La peine prévue par l'art. 90 al. 1 LCR est une amende. 3.1.2. Selon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Le paiement ultérieur de l'amende entraîne une réduction proportionnelle de la peine privative de liberté de substitution (al. 4). A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correspond schématiquement à CHF 100.- d'amende (R. ROTH / L. MOREILLON [éds], Code pénal I : art. 1-100 CP , Bâle 2009, n. 19 ad art. 106 CP).</w:t>
      </w:r>
    </w:p>
    <w:p>
      <w:r>
        <w:rPr>
          <w:b/>
        </w:rPr>
        <w:t>E. 3.2</w:t>
      </w:r>
    </w:p>
    <w:p>
      <w:r>
        <w:t>En l'espèce, la faute de l'intimée est d'une gravité moyenne dans la mesure où elle a causé un accident avec des dégâts matériels suite à un manque d'attention. Sa collaboration à la procédure est sans particularité. Elle ne semble pas avoir pris conscience de la faute commise rejetant la responsabilité de l'accident sur la voiture de police. Elle n'a aucun antécédent judiciaire en Suisse, élément toutefois neutre s'agissant de la fixation de la peine. Compte tenu de ce qui précède et de la situation financière modeste de l'intimée, l'amende sera fixée à CHF 500.- et la peine privative de liberté de substitution de cinq jours.</w:t>
      </w:r>
    </w:p>
    <w:p>
      <w:r>
        <w:rPr>
          <w:b/>
        </w:rPr>
        <w:t>E. 4</w:t>
      </w:r>
    </w:p>
    <w:p>
      <w:r>
        <w:t>4.1.1.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6B_472/2018 du 22 août 2018 consid. 1.2 ; 6B_620/2016 du 17 mai 2017 consid. 2.1.2). 4.1.2. L'intimée, condamnée en seconde instance, succombe dans ses conclusions et supportera partant les frais de la procédure d'appel, comprenant un émolument de jugement de CHF 1'000.-</w:t>
      </w:r>
    </w:p>
    <w:p>
      <w:r>
        <w:rPr>
          <w:b/>
        </w:rPr>
        <w:t>E. 4.2</w:t>
      </w:r>
    </w:p>
    <w:p>
      <w:r>
        <w:t>Des suites de sa condamnation, elle sera également condamnée aux frais de première instance (art. 428 al. 3 et 426 al. 1CPP).</w:t>
      </w:r>
    </w:p>
    <w:p>
      <w:r>
        <w:rPr>
          <w:b/>
        </w:rPr>
        <w:t>E. 5</w:t>
      </w:r>
    </w:p>
    <w:p>
      <w:r>
        <w:t>5.1. La question de l'indemnisation du prévenu (art. 429 à 434 CPP) doit être traitée en relation avec celle des frais. Dans cette mesure, la décision sur les frais préjuge de la question de l'indemnisation. Cela a principalement pour conséquence que si le prévenu supporte les frais en application de l'art. 426 al. 1 ou 2 CPP, une indemnité est en règle générale exclue.</w:t>
      </w:r>
    </w:p>
    <w:p>
      <w:r>
        <w:rPr>
          <w:b/>
        </w:rPr>
        <w:t>E. 5.2</w:t>
      </w:r>
    </w:p>
    <w:p>
      <w:r>
        <w:t>En l'occurrence, l'intimée ne saurait prétendre à une quelconque indemnisation de ses frais de défense, tant pour la première instance, qu'en 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