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P/15360/2011 vom 31. Mai 2013</w:t>
      </w:r>
    </w:p>
    <w:p>
      <w:r>
        <w:t>GE Cour de justice, 2013-05-31, FR</w:t>
      </w:r>
    </w:p>
    <w:p>
      <w:r>
        <w:rPr>
          <w:b/>
        </w:rPr>
        <w:t xml:space="preserve">Quelle: </w:t>
      </w:r>
      <w:r>
        <w:t>https://mcp.opencaselaw.ch/entscheid/ge_gerichte_P_15360_2011</w:t>
      </w:r>
    </w:p>
    <w:p>
      <w:r>
        <w:t>FR: GE_GERICHTE P/15360/2011 du 31 mai 2013</w:t>
      </w:r>
    </w:p>
    <w:p>
      <w:r>
        <w:t>IT: GE_GERICHTE P/15360/2011 del 31 maggio 2013</w:t>
      </w:r>
    </w:p>
    <w:p>
      <w:pPr>
        <w:pStyle w:val="Heading2"/>
      </w:pPr>
      <w:r>
        <w:t>Regeste</w:t>
      </w:r>
    </w:p>
    <w:p>
      <w:r>
        <w:t>MESURE THÉRAPEUTIQUE INSTITUTIONNELLE; INTERNEMENT(DROIT PÉNAL) | CP.59; CP.56; CP.64</w:t>
      </w:r>
    </w:p>
    <w:p>
      <w:pPr>
        <w:pStyle w:val="Heading2"/>
      </w:pPr>
      <w:r>
        <w:t>Erwägungen</w:t>
      </w:r>
    </w:p>
    <w:p>
      <w:r>
        <w:rPr>
          <w:b/>
        </w:rPr>
        <w:t>E. 1</w:t>
      </w:r>
    </w:p>
    <w:p>
      <w:r>
        <w:t>L'appel du Ministère public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Dans son appel, le Ministère public conteste le prononcé d'un traitement institutionnel en milieu fermé en lieu et place d'une mesure d'internement. 2.1.1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2.1.2 L'internement fondé sur l'art.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tant pour les infractions citées dans le catalogue que celles visées par la clause générale de l'art. 64 al. 1 CP (cf. M. NIGGLI / H. WIPRÄCHTIGER, Basler Kommentar Strafrecht I : Art. 1-110 StGB, Jugendstrafgesetz , 2 e éd., Bâle 2007, n. 22 ad art. 64). 2.1.3 Il faut en outre que l'une des conditions alternatives posées à l'art. 64 al. 1 CP soit réalisée, à savoir qu'en raison des caractéristiques de la personnalité de l'auteur, des circonstances dans lesquelles il a commis l'infraction et de son vécu, il soit sérieusement à craindre qu'il ne commette d'autres infractions du même genre (let. a) ou qu'en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2.1.4 Ainsi, un trouble mental ne constitue pas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 du Tribunal fédéral 6B_486/2009 du 28 octobre 2009 consid. 6.6). En revanche, en présence d'un trouble psychiatrique, l'internement fondé sur l'art. 64 al. 1 let. b CP constitue, conformément au principe de proportionnalité, une mesure subsidiaire par rapport à une mesure institutionnelle au sens de l'art. 59 CP. En tant qu' ultima ratio , en raison de la gravité de l'atteinte à la liberté personnelle qu'il représente (ATF 134 IV 121 consid. 3.4.4 p. 131; arrêt du Tribunal fédéral 6B_575/2010 du 16 décembre 2010, consid. 3.4; R. ROTH / L. MOREILLON (éds), Commentaire romand: Code pénal I : art. 1-100 CP , Bâle 2009, n. 22 ad art. 64),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consid. 3.2 et 3.3 p. 320 s.; 134 IV 121 consid. 3.4.2 p. 130; arrêt du Tribunal fédéral 6B_575/2010 du 16 décembre 2010, consid. 3.4). Cette subsidiarité traduit aussi, dans le domaine de l'internement, le principe de la proportionnalité qui s'applique à toutes les mesures (art. 56 al. 2 CP), selon lequel l'atteinte aux droits de la personnalité qui résulte pour l'auteur d'une mesure ne doit pas être disproportionnée au regard de la vraisemblance qu'il commette de nouvelles infractions et de leur gravité (arrêt du Tribunal fédéral 6B_575/10 du 16 décembre 2010, consid. 3.4; ATF 6B_604/2007 du 9 janvier 2008 consid. 6.2). 2.1.5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p. 321 également arrêt du Tribunal fédéral 6B_978/2010 du 1 er septembre 2011, consid. 3.1.2 et arrêt 6B_92/2010 du 30 mars 2010 consid. 1.2). L'exigence d'un tel pronostic ne signifie pas qu'un condamné souffrant de trouble mental ne pourra pas recevoir l'assistance nécessaire, mais seulement que la mesure préconisée par l'art. 59 CP n'est pas adéquate (R. ROTH / L. MOREILLON (éds), op. cit. , n. 15 ad art. 59 CP), tout au moins dans l'état des choses au moment où la décision est rendue. 2.1.6 De pratique constante, le juge n'a pas à substituer son appréciation à celle de l'expert. Il ne peut s'écarter du résultat d'une expertise judiciaire sans motifs déterminants, soit lorsqu'aucune circonstance bien établie n'ébranle sérieusement la crédibilité du rapport (ATF 122 V 157 consid. 1c p. 160; 119 Ib 254 consid. 8a p. 274). 2.2.1 Il n'est pas contesté ni contestable que l'appelant souffre d'un trouble mental, soit d'un trouble de la personnalité dyssociale, lequel avait été diagnostiqué par le Dr G______ en juin 2008 et dont l'existence a été confirmée par le Dr H______ dans son rapport d'expertise du 22 mars 2012. L'existence d'une maladie psychiatrique avait d'ailleurs déjà été mise en évidence par l'expertise de 2003 de la Dresse F______. A l'instar de son prédécesseur, le Dr H______ a qualifié l'affection de sévère et retenu que l'on était en présence d'un grave trouble de la personnalité assimilé à un trouble mental grave. Dans son rapport, l'expert a fait état d'un narcissisme pervers et d'un déficit émotionnel manifeste. A la question de savoir si l'acte punissable reproché au prévenu était en rapport avec son étant mental, l'expert a répondu par l'affirmative (expertise, p. 13). Il a ajouté que le risque de récidive était élevé compte tenu du trouble de la personnalité. Aux questions, posées de manière alternative par la mission d'expertise, de savoir si le risque de récidive d'infractions du même genre (viol notamment) était à mettre en relation avec les caractéristiques de la personnalité du prévenu, les circonstances dans lesquelles il avait commis l'infraction et son vécu ou avec un grave trouble mental chronique ou récurrent, l'expertise a répondu deux fois par l'affirmative. Toutefois, selon les explications fournies en audience d'instruction par l'expert, le risque de commission de nouvelles agressions est bien lié à sa maladie mentale, le trouble de la personnalité dyssociale résidant dans le fait de percevoir autrui comme un objet (procès-verbal d'audience du 30 mai 2012, p. 6). Il résulte de ce qui précède que l'on peut déduire sans ambiguïté des explications de l'expert que c'est bien le grave trouble de la personnalité assimilé à un grave trouble mental qui est à l'origine du viol commis et qui explique le risque de récidive. En présence d'une maladie psychiatrique grave, l'internement s'examine par conséquent selon les conditions de l'art. 64 al. 1 let. b CP, l'hypothèse de la lettre a étant réservée aux délinquants qui ne présentent pas des troubles répondant à un diagnostic psychiatrique qui seraient à l'origine de leurs actes délictueux, mais dont la dangerosité justifierait l'internement. La doctrine souligne d'ailleurs à cet égard que contrairement à la systématique de l'art. 64 CP, qui fait figurer le cas du délinquant souffrant d'un trouble mental en deuxième lieu, c'est cette hypothèse qui doit s'examiner en premier, la variante de la lettre a n'entrant en ligne de compte que si celle de la lettre b ne trouve pas application (M. NIGGLI / H. WIPRÄCHTIGER, op. cit. , n. 45 ad art. 64 et R. ROTH / L. MOREILLON (éds), op. cit. , n. 25-26 ad art. 64). C'est par conséquent à juste titre que les premiers juges ont examiné la situation de l'intimé sous l'angle de l'art. 64 al. 1 let. b CP. 2.2.2 Pour écarter l'internement au profit d'un traitement institutionnel en milieu fermé, dans le respect de l'exigence de subsidiarité expressément prévue par la loi, le Tribunal correctionnel s'est fondé sur les conclusions de l'expertise judiciaire. Au sujet des possibilités thérapeutiques, l'expert relève que, lors des entretiens, l'expertisé remettait partiellement en question ses actes. Celui-ci avait débuté un suivi psychothérapeutique à la prison, ce qui est attesté par le certificat de J______ du 16 avril 2013 et, s'il rejetait toujours la responsabilité sur les autres, il concédait avoir mal apprécié la situation et, par conséquent, mal géré son comportement. Pour l'expert, cela signait un début de remise en question et laissait " une porte d'entrée pour un travail thérapeutique ", qui était un outil bien développé. Si un échec d'un traitement institutionnel ne pouvait être exclu, l'expert a souligné qu'en l'occurrence une mesure thérapeutique de longue durée en milieu fermé pouvait donner des résultats positifs, à la condition que l'expertisé prenne conscience de son fonctionnement dyssocial et trouve un intérêt à changer, ceci à travers une approche motivationnelle. Sur cette base, la Cour considère, sans qu'il ne soit nécessaire d'ordonner un complément d'expertise, que même si l'expert s'est montré prudent dans ses conclusions, il a ce nonobstant retenu que les possibilités thérapeutiques en vue de réduire le risque de récidive étaient susceptibles de donner des résultats positifs sur le long terme, ce qui va au-delà d'un simple espoir hypothétique. A l'instar des premiers juges, force est de constater qu'un traitement institutionnel en milieu fermé n'est en l'occurrence pas d'emblée voué à l'échec. Partant, dans le strict respect de la proportionnalité, les conditions pour prononcer un internement ne sont pas réunies. 2.2.3 Par ces motifs, l'appel du Ministère public sera rejeté et le jugement entrepris confirmé. Vu la qualité de l'appelant, les frais de la procédure seront laissés à la charge de l'Etat (M. NIGGLI / M. HEER / H. WIPRÄCHTIGER, Schweizerische Strafprozessordnung/Schweizerische Jugendstrafprozessordnung , Basler Kommentar StPO/JStPO, Bâle 2010, n. 8 ad art. 428).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