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P/15340/2017 vom 28. März 2019</w:t>
      </w:r>
    </w:p>
    <w:p>
      <w:r>
        <w:t>GE Cour de justice, 2019-03-28, FR</w:t>
      </w:r>
    </w:p>
    <w:p>
      <w:r>
        <w:rPr>
          <w:b/>
        </w:rPr>
        <w:t xml:space="preserve">Quelle: </w:t>
      </w:r>
      <w:r>
        <w:t>https://mcp.opencaselaw.ch/entscheid/ge_gerichte_P_15340_2017</w:t>
      </w:r>
    </w:p>
    <w:p>
      <w:r>
        <w:t>FR: GE_GERICHTE P/15340/2017 du 28 mars 2019</w:t>
      </w:r>
    </w:p>
    <w:p>
      <w:r>
        <w:t>IT: GE_GERICHTE P/15340/2017 del 28 marzo 2019</w:t>
      </w:r>
    </w:p>
    <w:p>
      <w:pPr>
        <w:pStyle w:val="Heading2"/>
      </w:pPr>
      <w:r>
        <w:t>Regeste</w:t>
      </w:r>
    </w:p>
    <w:p>
      <w:r>
        <w:t>MENDICITÉ ; DROIT CANTONAL ; CIRCULATION ROUTIÈRE(DROIT DE LA CIRCULATION ROUTIÈRE) ; FIXATION DE L'AMENDE | LPG.11A; LFo; CP.47; CP.49; CP.106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Concrètement, la juridiction d'appel pourra revoir librement le droit mais non les faits pour lesquels le pouvoir d'examen est limité (L. MOREILLON / A. PAREIN-REYMOND, Petit commentaire CPP , Bâle 2016, n. 29 ad art. 398).</w:t>
      </w:r>
    </w:p>
    <w:p>
      <w:r>
        <w:rPr>
          <w:b/>
        </w:rPr>
        <w:t>E. 2.1</w:t>
      </w:r>
    </w:p>
    <w:p>
      <w:r>
        <w:t>Les infractions retenues à l'encontre de l'intimée, établies et non contestées, sont toutes passibles de l'amende.</w:t>
      </w:r>
    </w:p>
    <w:p>
      <w:r>
        <w:rPr>
          <w:b/>
        </w:rPr>
        <w:t>E. 2.2</w:t>
      </w:r>
    </w:p>
    <w:p>
      <w:r>
        <w:t>Selon l'art. 47 du Code pénal suisse du 21 décembre 1937 (CP - RS 311.0), applicable aux contraventions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2.3</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2.4</w:t>
      </w:r>
    </w:p>
    <w:p>
      <w:r>
        <w:t>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rPr>
          <w:b/>
        </w:rPr>
        <w:t>E. 2.5</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(ATF 141 IV 61 consid. 6.3.1 p. 69 et les références citées). Ce n'est que si le résultat auquel le juge de répression est parvenu apparaît vraiment choquant, compte tenu notamment des arguments invoqués et des cas déjà examinés par la jurisprudence, que l'on peut parler d'un abus du pouvoir d'appréciation (ATF 135 IV 191 consid. 3.1 p. 193 ; 123 IV 150 consid. 2a p. 152).</w:t>
      </w:r>
    </w:p>
    <w:p>
      <w:r>
        <w:rPr>
          <w:b/>
        </w:rPr>
        <w:t>E. 3</w:t>
      </w:r>
    </w:p>
    <w:p>
      <w:r>
        <w:t>En l'espèce, contrairement à ce qu'a retenu le premier juge et comme le relève à juste titre le Ministère public, la faute de l'intimée est loin d'être négligeable, au vu surtout de la répétition de ses actes illicites, qui plus est sur une période pénale de plus de deux ans. L'intimée ne pouvait pas ignorer que son comportement était contraire à la loi. Les conséquences de ses actes ne peuvent être tenues pour anodines sous l'angle du bien juridique protégé, à savoir la paix publique. A ce qui précède s'ajoute le concours d'infractions, qui justifie une aggravation de la peine. Cela étant, on ne saurait considérer que l'intimée a agi par appât du gain, au vu de la grande précarité de sa situation. Sa collaboration à la procédure n'a pas été mauvaise, l'intimée ayant admis sa culpabilité et, ainsi, sur le principe, le prononcé d'une amende. Une prise de conscience est, en revanche, attendue. Au vu des éléments qui précèdent, la quotité de l'amende fixée par le premier juge ne tient, en l'espèce, pas suffisamment compte de la faute de l'intimée. A l'heure de fixer la quotité de l'amende à infliger, un raisonnement arithmétique, tel qu'exprimé par le Ministère public, ne saurait cependant être suivi, les particularités du cas d'espèce devant être observées. Au demeurant, les tribunaux ne sont aucunement liés par la sanction proposée initialement dans une ordonnance pénale (art. 356 al. 1 CPP ; L. MOREILLON / A. PAREIN-REYMOND, op. cit. , n. 2 ad art. 356). Compte tenu de l'ensemble des éléments à prendre en considération, il apparaît qu'une amende de CHF 1'500.- est davantage adaptée à la faute et à la situation personnelle de l'intimée, de même que, à défaut de paiement, une peine privative de liberté de substitution de 15 jours. Dans la situation qui est celle de l'intimée, cette sanction apparaît à la fois dissuasive et adaptée à sa situation personnelle précaire, même si la CPAR ne dispose que de peu d'éléments d'appréciation, sinon en termes généraux. L'appel du Ministère public sera donc très partiellement admis et le jugement entrepris réformé dans la mesure qui précède.</w:t>
      </w:r>
    </w:p>
    <w:p>
      <w:r>
        <w:rPr>
          <w:b/>
        </w:rPr>
        <w:t>E. 4</w:t>
      </w:r>
    </w:p>
    <w:p>
      <w:r>
        <w:t>Dans ces conditions, un tiers des frais de la procédure d'appel, comprenant un émolument réduit de CHF 1'000.-, sera mis à la charge de A______, le solde étant laissé à la charge de l'Etat, cela sans incidence sur la répartition des frais de première instance vu la culpabilité inchangée (art. 428 CPP et art. 14 al. 1 let. e du Règlement fixant le tarif des frais en matière pénale ; E 4 10.03).</w:t>
      </w:r>
    </w:p>
    <w:p>
      <w:r>
        <w:rPr>
          <w:b/>
        </w:rPr>
        <w:t>E. 5</w:t>
      </w:r>
    </w:p>
    <w:p>
      <w:r>
        <w:t>L'activité du défenseure d'office de A______ est évaluée à une heure de travail pro forma , de sorte qu'une indemnité de CHF 215.40, TVA comprise, lui sera allouée à ce titre, pour la procédure d'appel. * * * * * PAR CES MOTIFS, L E PRÉSIDENT DE LA CHAMBRE PÉNALE D'APPEL ET DE RÉVISION : Reçoit l'appel formé par le Ministère public contre le jugement JTDP/1429/2018 rendu le 6 novembre 2018 par le Tribunal de police dans la procédure P/15340/2017. L'admet très partiellement. Annule ce jugement dans la mesure où il condamne A______ à une amende de CHF 300.- et prononce une peine privative de liberté de substitution de trois jours. Et statuant à nouveau : Condamne A______ à une amende de CHF 1'500.-. Prononce une peine privative de liberté de substitution de 15 jours. Confirme pour le surplus le jugement entrepris. Condamne A______ au tiers des frais de la procédure d'appel, qui comprennent un émolument de CHF 1'000.-, le solde étant laissé à la charge de l'Etat. Arrête à CHF 215.40, TVA comprise, le montant des frais et honoraires de M e B______, défenseure d'office de A______, pour la procédure d'appel. Notifie le présent arrêt aux parties. Le communique, pour information, au Tribunal de police, à l'Office cantonal de la population et des migrations et au Service des contraventions. La greffière : Melina CHODYNIECKI Le président : Jacques DELIEUTRAZ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P/15340/2017 ÉTAT DE FRAIS AARP/95/2019 COUR DE JUSTICE Selon les art. 4 et 14 du règlement du 22 décembre 2010 fixant le tarif des frais et dépens en matière pénale (E 4 10.03). Total des frais de procédure du Tribunal de police : Condamne A______ aux frais de procédure de première instance qui s'élèvent à CHF 923.-, arrêtés à CHF 200.-. CHF 200.00 Bordereau de frais de la Chambre pénale d'appel et de révision Délivrance de copies et photocopies (let. a, b et c) CHF 00.00 Mandats de comparution, avis d'audience et divers (let. i) CHF 220.00 Procès-verbal (let. f) CHF 00.00 État de frais CHF 75.00 Émolument de décision CHF 1'000.00 Total des frais de la procédure d'appel : Condamne A______ au tiers des frais de la procédure d'appel. (Pour calculer : cliquer avec bouton de droite sur le montant total puis sur « mettre à jour les champs » ou cliquer sur le montant total et sur la touche F9) CHF 1'295.00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