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P/15304/2024 vom 5. Februar 2025</w:t>
      </w:r>
    </w:p>
    <w:p>
      <w:r>
        <w:t>GE Cour de justice, 2025-02-05, FR</w:t>
      </w:r>
    </w:p>
    <w:p>
      <w:r>
        <w:rPr>
          <w:b/>
        </w:rPr>
        <w:t xml:space="preserve">Quelle: </w:t>
      </w:r>
      <w:r>
        <w:t>https://mcp.opencaselaw.ch/entscheid/ge_gerichte_P_15304_2024</w:t>
      </w:r>
    </w:p>
    <w:p>
      <w:r>
        <w:t>FR: GE_GERICHTE P/15304/2024 du 5 février 2025</w:t>
      </w:r>
    </w:p>
    <w:p>
      <w:r>
        <w:t>IT: GE_GERICHTE P/15304/2024 del 5 febbraio 2025</w:t>
      </w:r>
    </w:p>
    <w:p>
      <w:pPr>
        <w:pStyle w:val="Heading2"/>
      </w:pPr>
      <w:r>
        <w:t>Regeste</w:t>
      </w:r>
    </w:p>
    <w:p>
      <w:r>
        <w:t>ENQUÊTE PÉNALE;INTÉRÊT JURIDIQUEMENT PROTÉGÉ;QUALITÉ POUR RECOURIR;ADMINISTRATION DES PREUVES | CPP.382; CPP.393.al1; CPP.158</w:t>
      </w:r>
    </w:p>
    <w:p>
      <w:pPr>
        <w:pStyle w:val="Heading2"/>
      </w:pPr>
      <w:r>
        <w:t>Erwägungen</w:t>
      </w:r>
    </w:p>
    <w:p>
      <w:r>
        <w:rPr>
          <w:b/>
        </w:rPr>
        <w:t>E. 1.1</w:t>
      </w:r>
    </w:p>
    <w:p>
      <w:r>
        <w:t>Le recours a été déposé selon la forme prescrite (art. 385 al. 1 et 396 al. 1 CPP) et émane du prévenu, partie à la procédure (art. 104 al. 1 let. a et 111 CPP). Il est dirigé contre un mandat de délégation d'actes d'enquête du Ministère public comportant une restriction du droit de l'intéressé d'y participer, de sorte que le mandat querellé doit être considéré comme une décision sujette à recours (art. 393 al. 1 let. a CPP ; arrêt du Tribunal fédéral 1B_329/2014 du 1 er décembre 2014 consid. 2.2).</w:t>
      </w:r>
    </w:p>
    <w:p>
      <w:r>
        <w:rPr>
          <w:b/>
        </w:rPr>
        <w:t>E. 1.2</w:t>
      </w:r>
    </w:p>
    <w:p>
      <w:r>
        <w:t>Encore faut-il que le recourant dispose d'un intérêt juridiquement protégé à l'annulation ou à la modification de la décision querellée (art. 382 al. 1 CPP).</w:t>
      </w:r>
    </w:p>
    <w:p>
      <w:r>
        <w:rPr>
          <w:b/>
        </w:rPr>
        <w:t>E. 1.2.1</w:t>
      </w:r>
    </w:p>
    <w:p>
      <w:r>
        <w:t>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w:t>
      </w:r>
    </w:p>
    <w:p>
      <w:r>
        <w:rPr>
          <w:b/>
        </w:rPr>
        <w:t>E. 1.2.2</w:t>
      </w:r>
    </w:p>
    <w:p>
      <w:r>
        <w:t>En l'espèce, l'acte litigieux a déployé tous ses effets, les auditions ayant été menées les 9, 13, 16, 19, 20 et 26 août 2024 par la police, soit avant le dépôt du recours, hors la présence du prévenu et de son conseil. Le recourant n'a donc plus d'intérêt actuel et pratique à demander l'annulation des auditions concernées. Au surplus, le recourant ne dispose d'aucun intérêt juridique à voir annuler des auditions une fois celles-ci accomplies, dans la mesure où l'existence d'un éventuel vice qui entacherait un acte de procédure ne conduirait pas à son annulation, mais, alternativement, au constat de l’inexploitabilité des preuves recueillies à cette occasion (art. 147 al. 4 CPP) ou au retrait du procès-verbal concerné du dossier (art. 141 al. 5 CPP). Or, faute de décision préalable sur ce point, la Chambre de céans ne saurait statuer, pour la première fois, au stade d'un recours, sur les questions de l'inexploitabilité des preuves recueillies ou du retrait de procès-verbaux d'auditions du dossier (cf. art. 393 al. 1 let. a CPP).</w:t>
      </w:r>
    </w:p>
    <w:p>
      <w:r>
        <w:rPr>
          <w:b/>
        </w:rPr>
        <w:t>E. 2</w:t>
      </w:r>
    </w:p>
    <w:p>
      <w:r>
        <w:t>Par conséquent, le recours doit être déclaré irrecevable, faute pour le recourant de disposer d'un intérêt juridiquement protégé à l'annulation de la décision querellée.</w:t>
      </w:r>
    </w:p>
    <w:p>
      <w:r>
        <w:rPr>
          <w:b/>
        </w:rPr>
        <w:t>E. 3</w:t>
      </w:r>
    </w:p>
    <w:p>
      <w:r>
        <w:t>Le recourant, qui succombe, supportera les frais envers l'État, fixés en totalité à CHF 700.- pour l'instance de recours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