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P/15290/2016 vom 11. Februar 2019</w:t>
      </w:r>
    </w:p>
    <w:p>
      <w:r>
        <w:t>GE Cour de justice, 2019-02-11, FR</w:t>
      </w:r>
    </w:p>
    <w:p>
      <w:r>
        <w:rPr>
          <w:b/>
        </w:rPr>
        <w:t xml:space="preserve">Quelle: </w:t>
      </w:r>
      <w:r>
        <w:t>https://mcp.opencaselaw.ch/entscheid/ge_gerichte_P_15290_2016</w:t>
      </w:r>
    </w:p>
    <w:p>
      <w:r>
        <w:t>FR: GE_GERICHTE P/15290/2016 du 11 février 2019</w:t>
      </w:r>
    </w:p>
    <w:p>
      <w:r>
        <w:t>IT: GE_GERICHTE P/15290/2016 del 11 febbraio 2019</w:t>
      </w:r>
    </w:p>
    <w:p>
      <w:pPr>
        <w:pStyle w:val="Heading2"/>
      </w:pPr>
      <w:r>
        <w:t>Regeste</w:t>
      </w:r>
    </w:p>
    <w:p>
      <w:r>
        <w:t>INJURE ; IN DUBIO PRO REO ; POLICE | CP.177.al1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2.2.1.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2.2.2. Le Tribunal fédéral a relevé que cracher au visage d'une personne était un signe de mépris particulièrement grave (arrêt du Tribunal fédéral 6B_517/2008 du 27 août 2008, consid. 4.2). Le crachat est ainsi clairement une injure (M. DUPUIS / L. MOREILLON / C. PIGUET / S. BERGER / M. MAZOU / V. RODIGARI, Petit commentaire du code pénal , 2 ème éd., Bâle 2017, n. 8 ad art. 177). Le qualificatif de " fils de pute " est également constitutif d'injure (arrêt du Tribunal fédéral 6B_763/2014 du 6 janvier 2015). 2.2.3.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L'art. 177 al. 2 CP s'applique lorsque l'injure consiste en une réaction immédiate à un comportement répréhensible qui a provoqué chez l'auteur un sentiment de révolte. Il peut s'agir d'une provocation ou d'un autre comportement blâmable. Celui-ci ne doit pas nécessairement viser l'auteur de l'injure ; une conduite grossière en public peut suffire (ATF 117 IV 270 consid. 2c p. 273 ; arrêt du Tribunal fédéral 6B_87/2013 du 13 mai 2013 consid. 4.4). La notion d'immédiateté doit être comprise comme une notion de temps dans le sens que l'auteur doit avoir agi sous le coup de l'émotion provoquée par la conduite répréhensible de l'injurié, sans avoir eu le temps de réfléchir tranquillement (ATF 83 IV 151 ; arrêt du Tribunal fédéral 6B_87/2013 du 13 mai 2013 consid. 4.4). 2.3.1. En l'espèce, trois policiers en fonction ont soutenu de manière constante que l'appelant avait imité le cri de la poule et fait un doigt d'honneur, clairement perçu, à leur passage. L'appelant reconnait ses " cot, cot " tout en prétendant qu'il chantonnait un air de G______. Il a contesté tout doigt d'honneur, expliquant dans un premier temps que les policiers avaient dû mal interpréter un geste fait en fumant sa cigarette pour ensuite prétendre qu'il battait la mesure tout en chantant ce qui provoquait involontairement l'extension de son majeur. Quand bien même l'appelant n'aurait fait que chanter un air intitulé le "[titre de la chanson]" , au passage des gendarmes, il est notoire que les forces de l'ordre peuvent être associées aux " poulets ", dont il est communément admis que cela est de nature à dévaloriser la fonction. Le doigt d'honneur, relevé par les trois policiers, confirme cette dépréciation que l'appelant fait de la fonction, étant relevé que la CPAR, confrontant la version de trois policiers à celle de l'appelant qui a varié et s'avère fantaisiste, n'a pas de doute sur ce que ceux-là ont rapporté. Enfin, l'appelant est coutumier de ce genre de comportement pour lequel il reconnait avoir déjà été condamné. Ainsi, les policiers n'ont pu interpréter autrement que comme une insulte les visant spécifiquement le fait d'être, dans la rue, comparés à des poulets et visés par un doigt d'honneur, geste de mépris évident, comme communément admis. Vu les circonstances, le caractère intentionnel du comportement de l'appelant ne fait aucun doute quand bien même il prétend que ses " cot, cot " au premier passage des policiers seraient accidentels, mais bien voulus à leur retour. Sa condamnation pour injure au sens de l'art. 177 al. 1 CP pour ce premier complexe de faits sera partant confirmé, étant relevé qu'il ne plaide à juste titre pas l'application de l'art. 177 al. 2 CP. 2.3.2. Il n'y a pas plus de raison de douter de la version donnée par l'intimé GREPT de manière constante à l'occasion de ses trois auditions, dont une confrontation avec l'appelant, s'agissant de l'épisode intervenu deux heures plus tard. C'est en voyant cracher ce dernier sur une voiture de police puis sur la porte du poste qu'il a décidé de réagir et de l'emmener au poste. A nouveau l'appelant a donné une explication dénuée de toute crédibilité en assurant qu'il avait craché uniquement par terre pour expulser des glaires. Bien qu'en tenue civile, l'appelant ne prétend pas que le gendarme ne se serait alors pas légitimé. En tout état, l'appelant a compris au plus tard dans le sas du poste que ce gendarme procédait à son interpellation, puisqu'il a admis s'y être opposé en se laissant tomber de tout son poids. Face à un tel comportement d'opposition, il est difficile d'adhérer à sa version selon laquelle il n'aurait à aucun moment craché, notamment au visage de l'intimé C______ et l'aurait injurié dans les termes " sale fils de pute " et " connard de flic ". Ce comportement pour le moins inconvenant ne s'est pas arrêté là puisque l'appelant admet qu'il a exhibé son anus à la vue de pas moins de trois gendarmes qui procédaient à sa fouille. Il n'y a ainsi pas lieu de remettre en doute la version de l'intimé selon laquelle il s'est fait insulter et cracher dessus, dont au visage, par l'appelant récalcitrant. L'intimé C______ n'a au demeurant pas cherché à accabler l'appelant puisqu'il a concédé avoir, au moment de recevoir l'un des crachats le visant, au visage, la marque de mépris de trop, réagi en le traitant de " sale con " ou de " connard ". Il admet également l'usage du jet, pour le tenir éloigné et éviter tout nouveau crachat, de manière proportionnée toutefois puisque seul le t-shirt de l'appelant a été mouillé, ce que ce dernier ne conteste pas. Enfin, devant le premier juge, l'intimé C______ a souligné que l'appelant se montrait convenable à l'égard de la police depuis le dépôt de plainte. Dans ces circonstances, la CPAR tient pour établi que lors de ce second épisode, l'appelant, avec conscience et volonté, s'est aussi rendu coupable d'injures vis-à-vis du plaignant C______, par la parole et l'acte de cracher. Il ne saurait se prévaloir de l'art. 177 al. 2 CP dans la mesure où il inverse les rôles et la chronologie en prétendant avoir été provoqué par l'intimé C______, ce dernier l'ayant été au point de rétorquer immédiatement par deux insultes qui l'auraient légitimé à se prévaloir de cette disposition. Ainsi la condamnation de l'appelant en lien avec ce complexe de faits sera également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arrêts du Tribunal fédéral 6B_1216/2017 du 11 juin 2018 consid. 1.1.1 ; 6B_483/2016 du 30 avril 2018 consid. 3.5 destiné à la publication),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3.1.3.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3.1.4.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 6B_445/2016 du 5 juillet 2017 consid. 5.7.1 et les références). 3.1.5.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rPr>
          <w:b/>
        </w:rPr>
        <w:t>E. 3.2</w:t>
      </w:r>
    </w:p>
    <w:p>
      <w:r>
        <w:t>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partie des faits ayant été commis avant le 1er janvier 2018. 3.3.1.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3.3.2.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p. 191 ; arrêt du Tribunal fédéral 6B_220/2015 du 10 février 2016 consid. 4.1.). 3.3.3.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3.3.4.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2e éd., 2007, n. 40 ad art. 34 ; arrêt du Tribunal fédéral 6B_541/2007 du 13 mai 2008 consid. 6.3). 3.3.5.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3.4</w:t>
      </w:r>
    </w:p>
    <w:p>
      <w:r>
        <w:t>L'appelant ne conteste la peine ni dans sa nature, ni dans sa quotité dans l'hypothèse d'une confirmation du verdict de culpabilité. La CPAR se réfère à cet égard aux développements du premier juge (art. 82 al. 4 CPP). La sanction de 30 jours-amende à CHF 30.- l'unité, assortie du sursis et d'un délai d'épreuve de trois ans, consacre une application correcte des critères fixés à l'art. 47 CP et tient compte de manière adéquate de la gravité de sa faute, de sa responsabilité pleine et entière au moment d'agir, de sa mauvaise collaboration à la procédure, de l'absence de toute prise de conscience du caractère pénalement répréhensible de ses actes, de ses antécédents et de sa situation personnelle. Le premier juge a également tenu compte du caractère complémentaire de la peine à celle prononcée le 26 septembre 2016 par le Tribunal de police. Enfin, le prononcé d'une amende à titre de sanction immédiate à hauteur de CHF 200.- entrant dans la fourchette des 20% de la peine principale, s'avère pleinement justifié et sera confirmé, tout comme les deux jours de peine privative de liberté de substitution.</w:t>
      </w:r>
    </w:p>
    <w:p>
      <w:r>
        <w:rPr>
          <w:b/>
        </w:rPr>
        <w:t>E. 4</w:t>
      </w:r>
    </w:p>
    <w:p>
      <w:r>
        <w:t>L'appelant qui succombe supporte les frais de la procédure envers l'État comprenant un émolument de CHF 1'500.- (art. 428 CPP et art. 14 al. 1 let. e du règlement fixant le tarif des frais en matière pénale du 22 décembre 2010 [RTFMP – RS/GE E 4 10.03]).</w:t>
      </w:r>
    </w:p>
    <w:p>
      <w:r>
        <w:rPr>
          <w:b/>
        </w:rPr>
        <w:t>E. 5</w:t>
      </w:r>
    </w:p>
    <w:p>
      <w:r>
        <w:t>Au vu du verdict, il n'y a pas lieu d'entrer en matière sur une indemnisation au sens des art. 429 et 430 CPP, pas plus qu'en réparation d'un prétendu tort moral ou de dommages matériels subis.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