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P/15246/2016 vom 5. Dezember 2018</w:t>
      </w:r>
    </w:p>
    <w:p>
      <w:r>
        <w:t>GE Cour de justice, 2018-12-05, FR</w:t>
      </w:r>
    </w:p>
    <w:p>
      <w:r>
        <w:rPr>
          <w:b/>
        </w:rPr>
        <w:t xml:space="preserve">Quelle: </w:t>
      </w:r>
      <w:r>
        <w:t>https://mcp.opencaselaw.ch/entscheid/ge_gerichte_P_15246_2016</w:t>
      </w:r>
    </w:p>
    <w:p>
      <w:r>
        <w:t>FR: GE_GERICHTE P/15246/2016 du 5 décembre 2018</w:t>
      </w:r>
    </w:p>
    <w:p>
      <w:r>
        <w:t>IT: GE_GERICHTE P/15246/2016 del 5 dicembre 2018</w:t>
      </w:r>
    </w:p>
    <w:p>
      <w:pPr>
        <w:pStyle w:val="Heading2"/>
      </w:pPr>
      <w:r>
        <w:t>Regeste</w:t>
      </w:r>
    </w:p>
    <w:p>
      <w:r>
        <w:t>ABUS DE CONFIANCE ; UTILISATION FRAUDULEUSE D'UN ORDINATEUR ; LÉSION CORPORELLE SIMPLE ; CONCOURS D'INFRACTIONS | CP.138.al1.ch2; CP.147; CP.123; CP.123.al1.ch2; CP.49</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 arrêts du Tribunal fédéral 6B_458/2013 du 4 novembre 2013 consid. 1.3.2 et 6B_444/2011 du 20 octobre 2011 consid. 2.5).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 parole contre parole ",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M. NIGGLI / M. HEER / H. WIPRÄCHTIGER [éds], Strafprozessordnung / Jugendstrafprozessordnung , Basler Kommentar StPO/JStPO, 2e éd., Bâle 2014, n. 83 ad art. 10).</w:t>
      </w:r>
    </w:p>
    <w:p>
      <w:r>
        <w:rPr>
          <w:b/>
        </w:rPr>
        <w:t>E. 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6B_717/2018 du 10 septembre 2018 consid. 5.1; 6B_1383/2016 du 16 mai 2018 consid. 1.1 ; 6B_356/2016 du 6 mars 2017 consid. 2.1 ; 6B_507/2015 du 25 février 2016 consid. 1). 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w:t>
      </w:r>
    </w:p>
    <w:p>
      <w:r>
        <w:rPr>
          <w:b/>
        </w:rPr>
        <w:t>E. 2.3</w:t>
      </w:r>
    </w:p>
    <w:p>
      <w:r>
        <w:t>L'art. 147 al. 1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L'utilisation frauduleuse d'un ordinateur au préjudice des proches ou des familiers ne sera poursuivie que sur plainte (art. 147 al. 3 CP).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conditionsqui déterminent la réaction de la machine (ATF 129 IV 315 consid. 2.3.3). L'infraction est intentionnelle. Il est nécessaire que l'auteur ait agi sans droit et qu'il ait su qu'il agissait sans droit (arrêt du Tribunal fédéral 6B_61/2015 du 14 mars 2016 consid. 5.1). 2.4.1.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107 IV 40 consid. 5c ; ATF 103 IV 65 consid. 2c).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doit être qualifié de lésion corporelle. Compte tenu du peu de gravité de la lésion, il a jugé que la cour cantonale n'avait pas violé le droit fédéral en faisant application de l'art. 123 ch. 1 al. 2 CP (ATF 119 IV 25 consid. 2a ; arrêt du Tribunal fédéral 6B_1405/2017 du 10 juillet 2018 consid. 2.1). 2.4.2.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arrêts cités). 2.5.1. En l'espèce, il est établi, et non contesté par l'appelant, qu'une somme de CHF 1'400.- lui a été confiée par la partie plaignante en paiement de l'organisation d'un voyage personnel devant être réservé par l'intimée, ce qui n'a jamais été fait en raison du refus de celle-ci suite à une dispute du couple. Dans ses premières déclarations, l'appelant a indiqué avoir placé les fonds sur son compte bancaire personnel. Il est ensuite revenu sur ses propos et a indiqué avoir remis la somme à l'intimée. Il a expliqué avoir voulu rembourser l'intimé déjà en été 2016 mais n'avoir pas été en mesure de le faire parce qu'il était en vacances, en manque de liquidités, puis en prison et donc sans salaire. A sa sortie, il n'avait pas pu y procéder car il ne disposait pas des coordonnées bancaires de son créancier. L'intimée a contesté de manière constante avoir perçu cette somme. La version de celle-ci apparaît crédible, d'une part parce qu'elle n'a jamais varié dans ses déclarations, mais également parce qu'on ne voit pas pour quelle raison elle aurait menti sur ce sujet, sauf à imaginer que c'est elle qui a commis l'infraction et qui aurait dû être poursuivie, mais dans ce cas, vu la situation conflictuelle entre eux, le prévenu n'aurait pas manqué de lui faire ce reproche, en la dénonçant. Tel n'a pas été le cas. L'appelant a varié dans ses déclarations, cherchant constamment à minimiser des faits qu'il ne pouvait nier. Partant, la CPAR retiendra que l'appelant s'est approprié la somme confiée et l'a utilisée pour ses dépenses personnelles, contrairement aux instructions reçues. Sur le plan subjectif, il a agi intentionnellement poursuivant un dessein d'enrichissement illégitime. Partant, tant les éléments objectifs que subjectifs de l'infraction d'abus de confiance sont réalisés et le verdict de culpabilité retenu par le premier juge sera confirmé. D______ 2.5.2. L'appelant a admis être l'auteur des dépenses effectuées avec la carte de crédit au nom de D______ pour un montant de CHF 5'411.80. Au cours de l'instruction, il a reconnu devoir cette somme à cette dernière. La carte a toujours été en son unique possession. Après la rupture du couple, l'appelant ne saurait prétendre n'avoir pas compris ou déduit qu'il n'était plus en droit de faire usage de la carte, ce d'autant plus que, corollairement, il a cessé d'en payer les factures, dont il se chargeait auparavant. Par ailleurs, l'intégralité des dépenses en cause a été effectuée pour lui-même et non pour le couple. Enfin, il n'a pas fait usage de sa propre carte de crédit n'ayant pas les avoirs suffisants. Subjectivement, il a agi intentionnellement, sans droit, en pleine conscience et volonté. Partant, l'infraction d'utilisation frauduleuse d'un ordinateur est bien réalisée et la décision entreprise sera confirmée sur ce point. 2.5.3. En appel, l'appelant ne conteste plus être l'auteur des lésions constatées dans le certificat médical établi trois heures après les faits, mais uniquement la qualification juridique de lésions corporelles simples, au profit de voies de fait. Aux termes de la jurisprudence du Tribunal fédéral citée ci-dessus ( cf. consid. 2.4), la présence d'un hématome, lequel résulte de la rupture de vaisseaux sanguins, excluant le trouble passager, accompagné de douleurs au niveau de la mâchoire, doit en principe être qualifié de lésions corporelles simples. On se trouve au-delà de lésions qui n'auraient pas d'autres conséquences qu'un trouble passager et sans importance du sentiment de bien-être. Dans le cas d'espèce, l'intimée a indiqué que l'hématome était resté visible deux semaines. Au regard de la jurisprudence citée ci-dessus, c'est à bon droit que le premier juge a qualifié les lésions de lésions corporelles simples au sens de l'art. 123 ch. 1 CP, étant rappelé que la partie plaignante présentait de surcroît des griffures. Ce nonobstant, il est établi qu'un seul coup de tête a été donné. Le rapport de police ne fait pas état de marques de violence ni sur les protagonistes, ni dans l'appartement. A teneur du dossier, les lésions subies semblent malgré tout de peu de gravité et doivent emporter l'application de l'art. 123 ch. 1 al. 2 CP, lequel permet une atténuation de la peine.</w:t>
      </w:r>
    </w:p>
    <w:p>
      <w:r>
        <w:rPr>
          <w:b/>
        </w:rPr>
        <w:t>E. 3</w:t>
      </w:r>
    </w:p>
    <w:p>
      <w:r>
        <w:t>1. L'abus de confiance (art. 138 ch. 1 CP), l'utilisation frauduleuse d'un ordinateur par métier (art. 147 al. 1 et 2 CP) et les faux dans les titres (art. 251 ch. 1 CP) sont sanctionnés par une peine privative de liberté de cinq ans au plus ou une peine pécuniaire de 90 jours-amende au moins. La violation d'une obligation d'entretien (art. 217 CP), les lésions corporelles simples (art. 123 ch. 1 CP), l'infraction de menace (art. 180 CP), la conduite sans autorisation (art. 95 al. 1 let. b LCR), la conduite sans assurance responsabilité civile (art. 96 al. 2 LCR) et l'usage abusif de plaques (art. 97 al. 1 let. b LCR) sont punies d'une peine privative de liberté de trois ans au plus ou d'une peine pécuniaire. L'injure est passible d'une peine pécuniaire de 90 jours-amende au plus (art. 177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3.4</w:t>
      </w:r>
    </w:p>
    <w:p>
      <w:r>
        <w:t>Le juge suspend en règle générale l'exécution d'une peine privative de liberté de six mois au moins et de deux ans au plus lorsqu'une peine ferme ne paraît pas nécessaire pour détourner l'auteur d'autres crimes ou délits (art. 42 al. 1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et les références ; arrêts du Tribunal fédéral 6B_1406/2016 du 16 octobre 2017 consid. 1.1 à 1.3 ; 6B_430/2016 du 27 mars 2017 consid. 3.1).</w:t>
      </w:r>
    </w:p>
    <w:p>
      <w:r>
        <w:rPr>
          <w:b/>
        </w:rPr>
        <w:t>E. 3.5</w:t>
      </w:r>
    </w:p>
    <w:p>
      <w:r>
        <w:t>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 L'art. 46 al. 1 CP prévoit en outre que si la peine dont le sursis est révoqué et la nouvelle peine prononcée sont du même genre, le juge fixe une peine d'ensemble en appliquant par analogie l'art. 49 al. 1 CP.</w:t>
      </w:r>
    </w:p>
    <w:p>
      <w:r>
        <w:rPr>
          <w:b/>
        </w:rPr>
        <w:t>E. 3.6</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art. 10 CP). En revanche, la perpétration d'une seule contravention ne permet pas la réintégration, à moins qu'elle ne corresponde simultanément à la violation d'une règle de conduite (art. 95 al. 5 CP ; cf . ATF 128 IV 3 consid. 4b à propos de la révocation du sursis). La quotité de la peine qui frappe le crime ou le délit dans le cas concret est sans pertinence (arrêt du Tribunal fédéral 6B_663/2009 du 19 octobre 2009 consid. 1.2). A teneur de l'art. 89 al. 6 CP, si, en raison de la nouvelle infraction, les conditions d'une peine privative de liberté ferme sont réunies et que celle-ci entre en concours avec le solde de la peine devenu exécutoire en raison de la révocation, le juge prononce une peine d'ensemble, en vertu de l'art. 49 al. 1 CP</w:t>
      </w:r>
    </w:p>
    <w:p>
      <w:r>
        <w:rPr>
          <w:b/>
        </w:rPr>
        <w:t>E. 3.7</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du 21 septembre 1998, FF 1999 p. 1871). Pour apprécier la culpabilité, il faut tenir compte de tous les éléments pertinents pour la fixation de la peine, notamment des circonstances de l'auteur, tels que ses antécédents, sa situation personnelle ou son comportement après l'infraction. Une violation du principe de célérité ou un long écoulement de temps depuis les faits peuvent également être pris en considération (ATF 135 IV 130 consid. 5.4 ; arrêt du Tribunal fédéral 6B_839/2015 du 26 août 2016 consid. 6.1).</w:t>
      </w:r>
    </w:p>
    <w:p>
      <w:r>
        <w:rPr>
          <w:b/>
        </w:rPr>
        <w:t>E. 3.8</w:t>
      </w:r>
    </w:p>
    <w:p>
      <w:r>
        <w:t>En l'espèce, la faute de l'appelant est grave. Il s'en est pris à plusieurs intérêts juridiquement protégés, commettant des actes de violence, des infractions contre le patrimoine, des faux dans les titres, des violations de ses obligations d'entretien, des délits contre l'honneur et la liberté d'autrui et des atteintes à la sécurité routière, en sus de ne pas respecter les décisions de justice lui interdisant de conduire. L'appelant ne respecte donc rien, ni le patrimoine d'autrui, ni l'intégrité psychique et physique d'autrui, ni les décisions rendues à son égard, ce alors même qu'il bénéficiait au moment des faits du régime de la libération conditionnelle. Il a agi par appât du gain facile, sans égard pour autrui, s'en est pris gratuitement physiquement et verbalement à son ex-compagne et a délibérément décidé de faire fi des prescriptions en matière de sécurité routière et décisions rendues à son encontre, persistant de la sorte dans son activité délictuelle déjà bien ancrée au vu de ses nombreux antécédents spécifiques dans chacun des biens juridiques protégés susmentionnés. Sa collaboration n'est pas bonne, il a constamment cherché à placer la faute sur les autres et minimiser ses actes, notamment en modifiant ses déclarations. Sa prise de conscience est inversement proportionnelle à sa totale désinvolture. Il n'a par ailleurs exprimé aucun regret. Malgré les remboursements en faveur de l'intimé C______, l'intérêt à punir demeure et l'application de l'art. 52 CP ne saurait à l'évidence entrer en considération. Certes, l'appelant a remboursé la somme. Cela étant, il l'a fait près de neuf mois après avoir perçu cet argent (à l'exception des CHF 300.- versés trois semaines après), et suite au dépôt d'une plainte pénale de l'intimé. Ses antécédents montrent qu'il a commis à réitérées reprises ces dernières années des atteintes au patrimoine d'autrui. Il semble prendre avec beaucoup de légèreté des faits pourtant graves, agissant par pure convenance personnelle. Ce nonobstant, il sera tenu compte à sa décharge des remboursements en faveur de l'intimé C______, ainsi que du peu de gravité des lésions corporelles infligées, comme facteur de mitigation de sa peine. Comme énoncé ci-dessus, les antécédents de l'appelant sont multiples et spécifiques. Depuis novembre 2013, il a été condamné à six reprises, dont deux fois à des peines privatives de liberté. Les éléments qui précèdent imposent de confirmer le choix du genre de peine pour les infractions aux art. 123, 138, 147, 180, 217, 251 CP et 95, 96, 97 LCR, que l'appelant n'a d'ailleurs pas critiqué. En effet, la peine pécuniaire ne saurait entrer en considération, faute d'effet dissuasif. L'appelant a fait preuve d'une imperméabilité complète aux sanctions déjà prononcées, comprenant des peines d'emprisonnement. Il a poursuivi son comportement délictuel spécifique sans amendement aucun, alors même qu'il se trouvait au bénéfice du régime de la libération conditionnelle. Il y a concours entre les infractions d'abus de confiance (art. 138 ch. 1 CP), d'utilisation frauduleuse d'un ordinateur (art. 147 al. 1 CP), de faux dans les titres (art. 251 ch. 1 CP), de violation d'une obligation d'entretien (art. 217 CP), de lésions corporelles simples (art. 123 ch. 1 CP), de menace (art. 180 CP), de conduite sans autorisation (art. 95 al. 1 let. b LCR), de conduite sans assurance responsabilité civile (art. 96 al. 2 LCR) et d'usage abusif de plaques (art. 97 al. 1 let. b LCR), punissables d'une peine privative de liberté ou d'une peine pécuniaire, ce qui justifie de prononcer une peine privative de liberté aggravée. Les actes abstraitement les plus graves au sens de l'art. 49 al. 1 CP sont ceux qualifiés d'abus de confiance, d'utilisation frauduleuse d'un ordinateur et de faux dans les titres. Aussi, la CPAR juge appropriée une peine privative de liberté de cinq mois en relation avec les premières infractions. A ces cinq mois s'ajouteront cinq mois afin de tenir compte du concours avec les autres infractions, d'où une peine privative de liberté globale de dix mois. Vu la persistance de l'appelant dans la délinquance, ainsi que le risque de récidive, au regard de son parcours de multirécidiviste, le pronostic d'avenir est concrètement défavorable, ce qui n'est pas contesté. Aussi, une mesure de sursis n'entre pas en considération (art. 42 al. 1 a contrario CP). Ce raisonnement est aussi valable sous l'angle de l'examen de la révocation du sursis et de celle de la libération conditionnelle, surtout lorsqu'il s'accompagne d'un défaut de prise de conscience et de multiples récidives. Dans ces circonstances, la seule exécution des nouvelles sanctions ne saurait suffire. Aussi, le jugement du Tribunal de police, qui a révoqué les sursis accordés les 11 novembre 21013, 11 mars 2014 et 11 février 2015, ainsi que la libération conditionnelle, sera confirmé (art. 46 al. 1 CP). Ce point n'est par ailleurs pas non plus contesté par l'appelant en cas de confirmation du verdict de culpabilité. Partant, à la peine globale prononcée dans la présente procédure s'ajouteront la peine révoquée de neuf mois, ainsi que la peine restante de 62 jours. La peine d'ensemble prononcée par le premier juge est ainsi clémente. Liée par le principe de l'interdiction de la reformatio in pejus , la CPAR confirmera donc la peine privative de liberté d'ensemble de 17 mois, sous déduction de 113 jours de détention avant jugement, prononcée par le Tribunal de police. L'injure est sanctionnée d'une peine pécuniaire. La CPAR juge appropriée une peine pécuniaire de 30 jours-amende en relation avec cette infraction. A cette peine initiale s'ajoutent les peines révoquées de 80 jours-amende prononcée le 11 novembre 2013 et de 90 jours-amende prononcée le 11 février 2015. La peine d'ensemble de 180 jours-amende prononcée en première instance sera confirmée (art. 34 al. 1 CP), conformément à l'interdiction de la reformatio in pejus . Le montant du jour-amende, de CHF 40.- l'unité, apparaît également approprié au vu de sa situation financière. La CPAR se réfère à cet égard aux considérants et aux développements du premier juge (art. 82 al. 4 CPP).</w:t>
      </w:r>
    </w:p>
    <w:p>
      <w:r>
        <w:rPr>
          <w:b/>
        </w:rPr>
        <w:t>E. 4.1</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w:t>
      </w:r>
    </w:p>
    <w:p>
      <w:r>
        <w:rPr>
          <w:b/>
        </w:rPr>
        <w:t>E. 4.2</w:t>
      </w:r>
    </w:p>
    <w:p>
      <w:r>
        <w:t>Le verdict de culpabilité ayant été confirmé (art. 147 CP) et l'appelant ayant reconnu au cours de l'instruction devoir cette somme, la décision querellée sera confirmée et il sera condamné à payer à l'intimée la somme de CHF 5'411.80, étant précisé que l'appelant n'a aucunement motivé un rejet des prétentions civiles de l'intimée en cas de confirmation du verdict de culpabilité.</w:t>
      </w:r>
    </w:p>
    <w:p>
      <w:r>
        <w:rPr>
          <w:b/>
        </w:rPr>
        <w:t>E. 5.1</w:t>
      </w:r>
    </w:p>
    <w:p>
      <w:r>
        <w:t>L'appelant, qui succombe, supportera les frais de la procédure envers l'État (art. 428 CPP), qui comprennent un émolument de CHF 2'000.-.</w:t>
      </w:r>
    </w:p>
    <w:p>
      <w:r>
        <w:rPr>
          <w:b/>
        </w:rPr>
        <w:t>E. 5.2</w:t>
      </w:r>
    </w:p>
    <w:p>
      <w:r>
        <w:t>Vu la confirmation du verdict de culpabilité, la répartition des frais de première instance ne sera pas revue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